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D6650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A8D3658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86BF710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B3F956C" w14:textId="1892E718" w:rsidR="00F047B9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A3019"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GODIŠNJI IZVJEŠTAJ O IZVRŠENJU PRORAČUNA ZA 202</w:t>
      </w:r>
      <w:r w:rsidR="00E14196"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</w:t>
      </w:r>
      <w:r w:rsidRPr="00BA3019"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 GODINU</w:t>
      </w:r>
    </w:p>
    <w:p w14:paraId="279FEA02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243325A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0A7CDB4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A3019"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VODIČ ZA GRAĐANE</w:t>
      </w:r>
    </w:p>
    <w:p w14:paraId="7CD28FC3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5448DBF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5ABAE59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03FA662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454F7B6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B386F18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A107EB7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D1C8929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D908E1B" w14:textId="6A288521" w:rsidR="00BF55A7" w:rsidRDefault="00BA78C4" w:rsidP="00BF55A7">
      <w:pPr>
        <w:jc w:val="center"/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2025</w:t>
      </w:r>
      <w:r w:rsidR="00BF55A7" w:rsidRPr="00BA3019"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 godina </w:t>
      </w:r>
    </w:p>
    <w:p w14:paraId="2FAA43E4" w14:textId="77777777" w:rsidR="00BA3019" w:rsidRDefault="00BA3019" w:rsidP="00BF55A7">
      <w:pPr>
        <w:jc w:val="center"/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03E0039" w14:textId="77777777" w:rsidR="00BA3019" w:rsidRPr="00BA3019" w:rsidRDefault="00BA3019" w:rsidP="00BF55A7">
      <w:pPr>
        <w:jc w:val="center"/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155DD93" w14:textId="3AD5AE9E" w:rsidR="00F11BAC" w:rsidRPr="00BA3019" w:rsidRDefault="00BF55A7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BA3019"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 </w:t>
      </w:r>
      <w:r w:rsidR="00F11BAC" w:rsidRPr="00BA3019">
        <w:rPr>
          <w:rFonts w:eastAsiaTheme="minorHAnsi"/>
          <w:lang w:eastAsia="en-US"/>
        </w:rPr>
        <w:t xml:space="preserve">Osim vodiča </w:t>
      </w:r>
      <w:r w:rsidR="00E35345">
        <w:rPr>
          <w:rFonts w:eastAsiaTheme="minorHAnsi"/>
          <w:lang w:eastAsia="en-US"/>
        </w:rPr>
        <w:t xml:space="preserve">za građane, </w:t>
      </w:r>
      <w:r w:rsidR="00F11BAC" w:rsidRPr="00BA3019">
        <w:rPr>
          <w:rFonts w:eastAsiaTheme="minorHAnsi"/>
          <w:lang w:eastAsia="en-US"/>
        </w:rPr>
        <w:t>kod donošenja proračuna za iduću godinu, temeljem Zakona o proračunu, obveza jedinica lokalne i područne (regionalne samouprave) je i objava vodiča za građane o godišnjem izvještaju o izvršenju proračuna. Osim navedene zakonske obveze, svrha ovog Vodiča je povećanje transparentnosti rada Općine i informiranosti naših građana o načinu raspolaganja javnim sredstvima kao i povećanje interesa javnosti za općinske aktivnosti i projekte te, u konačnici, i njenoj većoj uključenosti u proračunske procese Općine.</w:t>
      </w:r>
    </w:p>
    <w:p w14:paraId="2EFF7BDA" w14:textId="7DDD961E" w:rsidR="00F11BAC" w:rsidRPr="00BA3019" w:rsidRDefault="00F11BAC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BA3019">
        <w:rPr>
          <w:rFonts w:eastAsiaTheme="minorHAnsi"/>
          <w:lang w:eastAsia="en-US"/>
        </w:rPr>
        <w:t>Godišnji izvještaj o izvršenju proračuna prikazuje podatke o izvršenju prihoda/primitaka i rashoda/izdataka</w:t>
      </w:r>
      <w:r w:rsidR="00BA3019" w:rsidRPr="00BA3019">
        <w:rPr>
          <w:rFonts w:eastAsiaTheme="minorHAnsi"/>
          <w:lang w:eastAsia="en-US"/>
        </w:rPr>
        <w:t xml:space="preserve"> te financijski položaj na kraju godine. </w:t>
      </w:r>
    </w:p>
    <w:p w14:paraId="2C9E9F64" w14:textId="7438AA30" w:rsidR="00BF55A7" w:rsidRDefault="00BA3019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BA3019">
        <w:rPr>
          <w:rFonts w:eastAsiaTheme="minorHAnsi"/>
          <w:lang w:eastAsia="en-US"/>
        </w:rPr>
        <w:t>U 202</w:t>
      </w:r>
      <w:r w:rsidR="00E14196">
        <w:rPr>
          <w:rFonts w:eastAsiaTheme="minorHAnsi"/>
          <w:lang w:eastAsia="en-US"/>
        </w:rPr>
        <w:t>4</w:t>
      </w:r>
      <w:r w:rsidRPr="00BA3019">
        <w:rPr>
          <w:rFonts w:eastAsiaTheme="minorHAnsi"/>
          <w:lang w:eastAsia="en-US"/>
        </w:rPr>
        <w:t xml:space="preserve">. godini, Općina </w:t>
      </w:r>
      <w:r>
        <w:rPr>
          <w:rFonts w:eastAsiaTheme="minorHAnsi"/>
          <w:lang w:eastAsia="en-US"/>
        </w:rPr>
        <w:t xml:space="preserve">Saborsko </w:t>
      </w:r>
      <w:r w:rsidRPr="00BA3019">
        <w:rPr>
          <w:rFonts w:eastAsiaTheme="minorHAnsi"/>
          <w:lang w:eastAsia="en-US"/>
        </w:rPr>
        <w:t>je pozitivno poslovala, te je na kraju godine ostvarila višak prihoda poslovanja, koji će se prenesti u 202</w:t>
      </w:r>
      <w:r w:rsidR="00FB2A66">
        <w:rPr>
          <w:rFonts w:eastAsiaTheme="minorHAnsi"/>
          <w:lang w:eastAsia="en-US"/>
        </w:rPr>
        <w:t>4</w:t>
      </w:r>
      <w:r w:rsidRPr="00BA3019">
        <w:rPr>
          <w:rFonts w:eastAsiaTheme="minorHAnsi"/>
          <w:lang w:eastAsia="en-US"/>
        </w:rPr>
        <w:t xml:space="preserve">. godinu i čime se će pokriti rashodi poslovanja i ulaganja u pojedine projekte. </w:t>
      </w:r>
    </w:p>
    <w:p w14:paraId="0041E8A7" w14:textId="2A7F3F2E" w:rsidR="00BA3019" w:rsidRDefault="00140998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Kroz ovaj vodič, upoznati ćemo vas sa općim i posebnim dijelom godišnjeg izvještaja o izvršenju proračuna. </w:t>
      </w:r>
    </w:p>
    <w:p w14:paraId="2F552240" w14:textId="22C16657" w:rsidR="00140998" w:rsidRDefault="00140998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Opći dio sastoji se od: </w:t>
      </w:r>
    </w:p>
    <w:p w14:paraId="75FA041F" w14:textId="1BAB250F" w:rsidR="00140998" w:rsidRDefault="00140998" w:rsidP="00140998">
      <w:pPr>
        <w:pStyle w:val="s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Računa prihoda i rashoda te računa</w:t>
      </w:r>
      <w:r w:rsidRPr="00140998">
        <w:rPr>
          <w:rFonts w:eastAsiaTheme="minorHAnsi"/>
          <w:lang w:eastAsia="en-US"/>
        </w:rPr>
        <w:t xml:space="preserve"> financiranja </w:t>
      </w:r>
    </w:p>
    <w:p w14:paraId="5AF85631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63008CCB" w14:textId="358CA34E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Račun prihoda i rashoda iskazuje se prema ekonomskoj klasifikaciji, izvorima financiranja i funkcijskoj klasifikaciji. </w:t>
      </w:r>
    </w:p>
    <w:p w14:paraId="14032F9C" w14:textId="33163CE0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Račun financiranja iskazuje se prema ekonomskoj klasifikaciji i izvorima financiranja. </w:t>
      </w:r>
    </w:p>
    <w:p w14:paraId="264510CE" w14:textId="77777777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</w:p>
    <w:p w14:paraId="6E8ABBBA" w14:textId="7977A084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Posebni dio sastoji se od:</w:t>
      </w:r>
    </w:p>
    <w:p w14:paraId="62F4A112" w14:textId="3AF34C45" w:rsidR="00140998" w:rsidRDefault="00140998" w:rsidP="00140998">
      <w:pPr>
        <w:pStyle w:val="s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Izvršenja po organizacijskoj klasifikaciji </w:t>
      </w:r>
    </w:p>
    <w:p w14:paraId="7E5203CC" w14:textId="3B0517F2" w:rsidR="00140998" w:rsidRDefault="00140998" w:rsidP="00140998">
      <w:pPr>
        <w:pStyle w:val="s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Izvršenja po programskoj klasifikaciji </w:t>
      </w:r>
    </w:p>
    <w:p w14:paraId="6F880EDE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4B0A1F4F" w14:textId="6A81E8D0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Osim toga, u godišnjem izvještaju o izvršenju proračuna, sastavlja se izvještaj o </w:t>
      </w:r>
      <w:r w:rsidR="00FB2A66">
        <w:rPr>
          <w:rFonts w:eastAsiaTheme="minorHAnsi"/>
          <w:lang w:eastAsia="en-US"/>
        </w:rPr>
        <w:t xml:space="preserve">korištenju proračunske zalihe, izvještaj </w:t>
      </w:r>
      <w:r w:rsidR="00FB2A66" w:rsidRPr="00011616">
        <w:t>o zaduživanju na domaćem i stranom tržištu novca i kapitala</w:t>
      </w:r>
      <w:r w:rsidR="00FB2A66">
        <w:t xml:space="preserve">, izvještaj </w:t>
      </w:r>
      <w:r w:rsidR="00FB2A66" w:rsidRPr="00011616">
        <w:t>o danim jamstvima i plaćanjima po</w:t>
      </w:r>
      <w:r w:rsidR="00FB2A66">
        <w:t xml:space="preserve"> p</w:t>
      </w:r>
      <w:r w:rsidR="00FB2A66" w:rsidRPr="00011616">
        <w:t>rotestnim jamstvima</w:t>
      </w:r>
      <w:r w:rsidR="00FB2A66">
        <w:t xml:space="preserve">, izvještaj </w:t>
      </w:r>
      <w:r w:rsidR="00FB2A66" w:rsidRPr="00011616">
        <w:t>o korištenju sredstava fondova Europske unije</w:t>
      </w:r>
      <w:r w:rsidR="00FB2A66">
        <w:t xml:space="preserve">, izvještaj </w:t>
      </w:r>
      <w:r w:rsidR="00FB2A66" w:rsidRPr="00011616">
        <w:t>o danim zajmovima i potraživanjima po danim zajmovima</w:t>
      </w:r>
      <w:r w:rsidR="00FB2A66">
        <w:t xml:space="preserve">, izvještaj </w:t>
      </w:r>
      <w:r w:rsidR="00FB2A66" w:rsidRPr="00011616">
        <w:t>o stanju potraživanja i dospjelih obveza te o stanju potencijalnih obveza po osnovi sudskih sporov</w:t>
      </w:r>
      <w:r w:rsidR="00FB2A66">
        <w:t>a.</w:t>
      </w:r>
    </w:p>
    <w:p w14:paraId="40D6AB9C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4E806CFD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0EF75994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7DDF3F77" w14:textId="77777777" w:rsidR="00FB2A66" w:rsidRDefault="00FB2A66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60ACD5EB" w14:textId="242D6DEF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Opći dio </w:t>
      </w:r>
    </w:p>
    <w:p w14:paraId="16737B20" w14:textId="77777777" w:rsidR="00140998" w:rsidRPr="00DA4771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67507EEA" w14:textId="2D964FA9" w:rsidR="00DA4771" w:rsidRDefault="00DA4771" w:rsidP="00DA4771">
      <w:pPr>
        <w:jc w:val="both"/>
        <w:rPr>
          <w:rFonts w:ascii="Times New Roman" w:hAnsi="Times New Roman"/>
          <w:sz w:val="24"/>
          <w:szCs w:val="24"/>
        </w:rPr>
      </w:pPr>
      <w:r w:rsidRPr="002A5389">
        <w:rPr>
          <w:rFonts w:ascii="Times New Roman" w:hAnsi="Times New Roman"/>
          <w:b/>
          <w:sz w:val="24"/>
          <w:szCs w:val="24"/>
        </w:rPr>
        <w:t>Ukupni prihodi i primici</w:t>
      </w:r>
      <w:r w:rsidRPr="00DA4771">
        <w:rPr>
          <w:rFonts w:ascii="Times New Roman" w:hAnsi="Times New Roman"/>
          <w:sz w:val="24"/>
          <w:szCs w:val="24"/>
        </w:rPr>
        <w:t xml:space="preserve"> proračuna za 202</w:t>
      </w:r>
      <w:r w:rsidR="00EF56AA">
        <w:rPr>
          <w:rFonts w:ascii="Times New Roman" w:hAnsi="Times New Roman"/>
          <w:sz w:val="24"/>
          <w:szCs w:val="24"/>
        </w:rPr>
        <w:t>4</w:t>
      </w:r>
      <w:r w:rsidRPr="00DA4771">
        <w:rPr>
          <w:rFonts w:ascii="Times New Roman" w:hAnsi="Times New Roman"/>
          <w:sz w:val="24"/>
          <w:szCs w:val="24"/>
        </w:rPr>
        <w:t xml:space="preserve">. godinu iznose </w:t>
      </w:r>
      <w:r w:rsidR="00FB2A66">
        <w:rPr>
          <w:rFonts w:ascii="Times New Roman" w:hAnsi="Times New Roman"/>
          <w:sz w:val="24"/>
          <w:szCs w:val="24"/>
        </w:rPr>
        <w:t>1.</w:t>
      </w:r>
      <w:r w:rsidR="00EF56AA">
        <w:rPr>
          <w:rFonts w:ascii="Times New Roman" w:hAnsi="Times New Roman"/>
          <w:sz w:val="24"/>
          <w:szCs w:val="24"/>
        </w:rPr>
        <w:t xml:space="preserve">104.389,90 eura. </w:t>
      </w:r>
      <w:r w:rsidR="00FB2A66">
        <w:rPr>
          <w:rFonts w:ascii="Times New Roman" w:hAnsi="Times New Roman"/>
          <w:sz w:val="24"/>
          <w:szCs w:val="24"/>
        </w:rPr>
        <w:t xml:space="preserve"> </w:t>
      </w:r>
    </w:p>
    <w:p w14:paraId="7ABCD3A9" w14:textId="69CA0C3C" w:rsidR="00DA4771" w:rsidRPr="00DA4771" w:rsidRDefault="00DA4771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Prihodi poslovanja ostvareni su od prihoda od poreza, pomoći iz inozemstva i od subjekata unutar općeg proračuna, </w:t>
      </w:r>
      <w:r w:rsidRPr="00DA4771">
        <w:rPr>
          <w:rFonts w:ascii="Times New Roman" w:hAnsi="Times New Roman"/>
          <w:sz w:val="24"/>
          <w:szCs w:val="24"/>
        </w:rPr>
        <w:t>prihoda od imovine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A4771">
        <w:rPr>
          <w:rFonts w:ascii="Times New Roman" w:hAnsi="Times New Roman"/>
          <w:sz w:val="24"/>
          <w:szCs w:val="24"/>
        </w:rPr>
        <w:t>prihod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 xml:space="preserve"> od administrativnih i upravnih pristojbi, pristojbi po posebnim propisima i naknada, prihod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 xml:space="preserve"> od prodaje proizvoda i robe te pruženih usluga i prihod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 xml:space="preserve"> od donacija, te kazn</w:t>
      </w:r>
      <w:r>
        <w:rPr>
          <w:rFonts w:ascii="Times New Roman" w:hAnsi="Times New Roman"/>
          <w:sz w:val="24"/>
          <w:szCs w:val="24"/>
        </w:rPr>
        <w:t>i</w:t>
      </w:r>
      <w:r w:rsidRPr="00DA4771">
        <w:rPr>
          <w:rFonts w:ascii="Times New Roman" w:hAnsi="Times New Roman"/>
          <w:sz w:val="24"/>
          <w:szCs w:val="24"/>
        </w:rPr>
        <w:t>, upravn</w:t>
      </w:r>
      <w:r>
        <w:rPr>
          <w:rFonts w:ascii="Times New Roman" w:hAnsi="Times New Roman"/>
          <w:sz w:val="24"/>
          <w:szCs w:val="24"/>
        </w:rPr>
        <w:t>ih</w:t>
      </w:r>
      <w:r w:rsidRPr="00DA4771">
        <w:rPr>
          <w:rFonts w:ascii="Times New Roman" w:hAnsi="Times New Roman"/>
          <w:sz w:val="24"/>
          <w:szCs w:val="24"/>
        </w:rPr>
        <w:t xml:space="preserve"> mjer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 xml:space="preserve"> i ostal</w:t>
      </w:r>
      <w:r>
        <w:rPr>
          <w:rFonts w:ascii="Times New Roman" w:hAnsi="Times New Roman"/>
          <w:sz w:val="24"/>
          <w:szCs w:val="24"/>
        </w:rPr>
        <w:t>ih</w:t>
      </w:r>
      <w:r w:rsidRPr="00DA4771">
        <w:rPr>
          <w:rFonts w:ascii="Times New Roman" w:hAnsi="Times New Roman"/>
          <w:sz w:val="24"/>
          <w:szCs w:val="24"/>
        </w:rPr>
        <w:t xml:space="preserve"> prihod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>.</w:t>
      </w:r>
    </w:p>
    <w:p w14:paraId="32B6EE83" w14:textId="3910E2B2" w:rsidR="00DA4771" w:rsidRDefault="00DA4771" w:rsidP="00DA4771">
      <w:pPr>
        <w:jc w:val="both"/>
        <w:rPr>
          <w:rFonts w:ascii="Times New Roman" w:hAnsi="Times New Roman"/>
          <w:sz w:val="24"/>
          <w:szCs w:val="24"/>
        </w:rPr>
      </w:pPr>
    </w:p>
    <w:p w14:paraId="5801C6E5" w14:textId="1BCB3047" w:rsidR="00DA4771" w:rsidRDefault="00DA4771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4771">
        <w:rPr>
          <w:rFonts w:ascii="Times New Roman" w:hAnsi="Times New Roman"/>
          <w:b/>
          <w:sz w:val="24"/>
          <w:szCs w:val="24"/>
        </w:rPr>
        <w:t>Rashodi poslovanja</w:t>
      </w:r>
      <w:r w:rsidRPr="00DA4771">
        <w:rPr>
          <w:rFonts w:ascii="Times New Roman" w:hAnsi="Times New Roman"/>
          <w:sz w:val="24"/>
          <w:szCs w:val="24"/>
        </w:rPr>
        <w:t xml:space="preserve"> bili su planirani u iznosu od </w:t>
      </w:r>
      <w:r w:rsidR="00EF56AA">
        <w:rPr>
          <w:rFonts w:ascii="Times New Roman" w:hAnsi="Times New Roman"/>
          <w:sz w:val="24"/>
          <w:szCs w:val="24"/>
        </w:rPr>
        <w:t>825.855,00 eura</w:t>
      </w:r>
      <w:r w:rsidRPr="00DA4771">
        <w:rPr>
          <w:rFonts w:ascii="Times New Roman" w:hAnsi="Times New Roman"/>
          <w:sz w:val="24"/>
          <w:szCs w:val="24"/>
        </w:rPr>
        <w:t>, a ostvareni su u iznosu od</w:t>
      </w:r>
      <w:r w:rsidR="00FB2A66">
        <w:rPr>
          <w:rFonts w:ascii="Times New Roman" w:hAnsi="Times New Roman"/>
          <w:sz w:val="24"/>
          <w:szCs w:val="24"/>
        </w:rPr>
        <w:t xml:space="preserve"> </w:t>
      </w:r>
      <w:r w:rsidR="00EF56AA">
        <w:rPr>
          <w:rFonts w:ascii="Times New Roman" w:hAnsi="Times New Roman"/>
          <w:sz w:val="24"/>
          <w:szCs w:val="24"/>
        </w:rPr>
        <w:t>705.054,87 e</w:t>
      </w:r>
      <w:r w:rsidR="00FB2A66">
        <w:rPr>
          <w:rFonts w:ascii="Times New Roman" w:hAnsi="Times New Roman"/>
          <w:sz w:val="24"/>
          <w:szCs w:val="24"/>
        </w:rPr>
        <w:t>ura</w:t>
      </w:r>
      <w:r>
        <w:rPr>
          <w:rFonts w:ascii="Times New Roman" w:hAnsi="Times New Roman"/>
          <w:sz w:val="24"/>
          <w:szCs w:val="24"/>
        </w:rPr>
        <w:t xml:space="preserve">, dok rashodi koji se odnose na nabavu dugotrajne nefinancijske imovine, ostvareni su u iznosu od </w:t>
      </w:r>
      <w:r w:rsidR="00EF56AA">
        <w:rPr>
          <w:rFonts w:ascii="Times New Roman" w:hAnsi="Times New Roman"/>
          <w:sz w:val="24"/>
          <w:szCs w:val="24"/>
        </w:rPr>
        <w:t>484.392,37 e</w:t>
      </w:r>
      <w:r w:rsidR="00FB2A66">
        <w:rPr>
          <w:rFonts w:ascii="Times New Roman" w:hAnsi="Times New Roman"/>
          <w:sz w:val="24"/>
          <w:szCs w:val="24"/>
        </w:rPr>
        <w:t xml:space="preserve">ura, što je ukupno rashoda </w:t>
      </w:r>
      <w:r w:rsidR="00EF56AA">
        <w:rPr>
          <w:rFonts w:ascii="Times New Roman" w:hAnsi="Times New Roman"/>
          <w:sz w:val="24"/>
          <w:szCs w:val="24"/>
        </w:rPr>
        <w:t>1.189.447,24 eura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04FB225" w14:textId="74171E0D" w:rsidR="00017A35" w:rsidRDefault="00017A35" w:rsidP="00017A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je ostvarila ukupne prihode poslovanja u iznosu 1.104.389,90 eura i rashode poslovanja u iznosu od 1.189.447,24 eura. S obzirom da su prihodi poslovanja manji od rashoda poslovanja, Općina je ostvarila manjak za 85.057,34 eura. </w:t>
      </w:r>
    </w:p>
    <w:p w14:paraId="27095515" w14:textId="3E97E7B6" w:rsidR="00075D25" w:rsidRDefault="00017A35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ima višak prihoda poslovanja prenesen iz prethodnih godina kojima će pokriti taj manjak, ostaje joj višak prihoda u visini od 336.635,21 eura.</w:t>
      </w:r>
    </w:p>
    <w:p w14:paraId="5445969D" w14:textId="68E46317" w:rsidR="00A91750" w:rsidRDefault="00775A0C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51329A0" wp14:editId="4B82F45D">
            <wp:extent cx="5695950" cy="3476625"/>
            <wp:effectExtent l="0" t="0" r="0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C860E67" w14:textId="77777777" w:rsidR="00DA4771" w:rsidRDefault="00DA4771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160EA7" w14:textId="77777777" w:rsidR="00AB2343" w:rsidRDefault="009A69E9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Grafikonom su prikazani prihodi poslovanja Općine Saborsko, u kojemu se vidi da su najviše ostvareni prihodi dobiveni iz izvora</w:t>
      </w:r>
      <w:r w:rsidR="00AB2343">
        <w:rPr>
          <w:rFonts w:ascii="Times New Roman" w:hAnsi="Times New Roman"/>
          <w:sz w:val="24"/>
          <w:szCs w:val="24"/>
        </w:rPr>
        <w:t xml:space="preserve"> 4. Prihodi za posebne namjene. Oni se odnose na namjenske prihode, a najviše je ostvareno prihoda iz izvora komunalna naknada i doprinos, šumski doprinos, naknada za zaštićena područja. </w:t>
      </w:r>
    </w:p>
    <w:p w14:paraId="0382DE6A" w14:textId="519519F9" w:rsidR="00DA4771" w:rsidRDefault="00AB2343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Drugi najzastupljeniji prihodi po izvorima su pomoći iz izvora</w:t>
      </w:r>
      <w:r w:rsidR="006A67F4">
        <w:rPr>
          <w:rFonts w:ascii="Times New Roman" w:hAnsi="Times New Roman"/>
          <w:sz w:val="24"/>
          <w:szCs w:val="24"/>
        </w:rPr>
        <w:t xml:space="preserve"> 5., a dobivaju se od Ministarstva demografije, ostale pomoći, kapitalne pomoći Ministarstva graditeljstva i prostornog uređenja, tekuće pomoći iz državnog proračuna, Ministarstva obrazovanja i znanosti, pomoć županije, kapitalna pomoć MRRFEU, kapitalna pomoć APPRRR. Najviše prihoda se ostvaruje iz izvora tekuće pomoći državnog proračuna a odnosi se na fiskalno izravnanje. Drugi najzastupljeniji prihod je iz izvora kapitalna pomoć MRRFEU, </w:t>
      </w:r>
      <w:r w:rsidR="009D72CA">
        <w:rPr>
          <w:rFonts w:ascii="Times New Roman" w:hAnsi="Times New Roman"/>
          <w:sz w:val="24"/>
          <w:szCs w:val="24"/>
        </w:rPr>
        <w:t xml:space="preserve">i ti prihodi su namjenski te su se namjenski i utrošili. </w:t>
      </w:r>
    </w:p>
    <w:p w14:paraId="4A05C0C8" w14:textId="05238E65" w:rsidR="004725D6" w:rsidRDefault="00AB2343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Zatim su ostvareni prihodi iz izvora Opći prihodi i primici te vlastiti prihodi. </w:t>
      </w:r>
    </w:p>
    <w:p w14:paraId="7120EF30" w14:textId="15BC06DE" w:rsidR="004725D6" w:rsidRDefault="00823312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69603D6D" wp14:editId="3412B5B0">
            <wp:extent cx="6038850" cy="342900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F4EE754" w14:textId="065A0B2E" w:rsidR="00075D25" w:rsidRDefault="00075D25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237E81" w14:textId="35CC7F7E" w:rsidR="00075D25" w:rsidRDefault="00F8286C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grafikonu su prikazani </w:t>
      </w:r>
      <w:r w:rsidR="000F7AE7">
        <w:rPr>
          <w:rFonts w:ascii="Times New Roman" w:hAnsi="Times New Roman"/>
          <w:sz w:val="24"/>
          <w:szCs w:val="24"/>
        </w:rPr>
        <w:t xml:space="preserve"> ostvareni </w:t>
      </w:r>
      <w:r>
        <w:rPr>
          <w:rFonts w:ascii="Times New Roman" w:hAnsi="Times New Roman"/>
          <w:sz w:val="24"/>
          <w:szCs w:val="24"/>
        </w:rPr>
        <w:t xml:space="preserve">rashodi poslovanja, koji se odnose na rashode za zaposlene, materijalne rashode, financijske rashode, subvencije, pomoći dane unutar općeg proračuna, naknada građanima i kućanstvima te ostali rashodi. </w:t>
      </w:r>
    </w:p>
    <w:p w14:paraId="0C9A67E9" w14:textId="432FD669" w:rsidR="00B33B3D" w:rsidRDefault="00B33B3D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poslovanja su ostvareni u manjem iznosu od planiranog, ostvarenje je </w:t>
      </w:r>
      <w:r w:rsidR="00823312">
        <w:rPr>
          <w:rFonts w:ascii="Times New Roman" w:hAnsi="Times New Roman"/>
          <w:sz w:val="24"/>
          <w:szCs w:val="24"/>
        </w:rPr>
        <w:t>85,37</w:t>
      </w:r>
      <w:r>
        <w:rPr>
          <w:rFonts w:ascii="Times New Roman" w:hAnsi="Times New Roman"/>
          <w:sz w:val="24"/>
          <w:szCs w:val="24"/>
        </w:rPr>
        <w:t xml:space="preserve">%. </w:t>
      </w:r>
    </w:p>
    <w:p w14:paraId="4C84747D" w14:textId="593E297A" w:rsidR="00B33B3D" w:rsidRDefault="00B33B3D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Najviše rashoda odlazi na materijalne rashode, potrebne za poslovanje Općine. </w:t>
      </w:r>
    </w:p>
    <w:p w14:paraId="17E433D3" w14:textId="74BDF729" w:rsidR="000F7AE7" w:rsidRDefault="000F7AE7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Općina Saborsko planirala </w:t>
      </w:r>
      <w:r w:rsidR="00B33B3D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sredstva utrošiti u skladu sa prihodima, te nije prekoračila iznose koji su planirani. </w:t>
      </w:r>
    </w:p>
    <w:p w14:paraId="61BC27C0" w14:textId="77777777" w:rsidR="00676685" w:rsidRDefault="00676685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Osim rashoda poslovanja, općina je ulagala i u imovinu te je ostvarila rashode za nabavu nefinancijske imovine u iznosu od 484.392,37 eura.</w:t>
      </w:r>
    </w:p>
    <w:p w14:paraId="0F639F85" w14:textId="77777777" w:rsidR="00676685" w:rsidRDefault="00676685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Veliki dio rashoda odnosi se na rashode za nabavu proizvedene dugotrajne imovine i to u iznosu od 407.072,90 eura. </w:t>
      </w:r>
    </w:p>
    <w:p w14:paraId="3989E7BA" w14:textId="56E47039" w:rsidR="000F49E4" w:rsidRDefault="00676685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za nabavu proizvedene dugotrajne imovine odnose se na ulaganje u građevinske objekte, odnosno ulaganje u ceste, nabavu javne rasvjete, provođenje nadzora n</w:t>
      </w:r>
      <w:r w:rsidR="007E6D6A">
        <w:rPr>
          <w:rFonts w:ascii="Times New Roman" w:hAnsi="Times New Roman"/>
          <w:sz w:val="24"/>
          <w:szCs w:val="24"/>
        </w:rPr>
        <w:t xml:space="preserve">ad radovima školskog igrališta. Kupio se je višenamjenski radni stroj za javne površine. Kroz projekt se je uložilo u sportsku opremu namijenjenu vrtiću, ulagalo se je u prostorne planove, računalnu opremu, uredski namještaj. </w:t>
      </w:r>
    </w:p>
    <w:p w14:paraId="56D1F4DC" w14:textId="6ADB2C4A" w:rsidR="000F49E4" w:rsidRDefault="000F49E4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za dodatna ulaganja na nefinancijskoj imovini, odnose se na rashode u kojima se povećava vrijednost već postojeće imovine, tj. dodatn</w:t>
      </w:r>
      <w:r w:rsidR="004C0708">
        <w:rPr>
          <w:rFonts w:ascii="Times New Roman" w:hAnsi="Times New Roman"/>
          <w:sz w:val="24"/>
          <w:szCs w:val="24"/>
        </w:rPr>
        <w:t>o se ulaže</w:t>
      </w:r>
      <w:r>
        <w:rPr>
          <w:rFonts w:ascii="Times New Roman" w:hAnsi="Times New Roman"/>
          <w:sz w:val="24"/>
          <w:szCs w:val="24"/>
        </w:rPr>
        <w:t xml:space="preserve"> na postojećoj imovini. </w:t>
      </w:r>
      <w:r w:rsidR="007E6D6A">
        <w:rPr>
          <w:rFonts w:ascii="Times New Roman" w:hAnsi="Times New Roman"/>
          <w:sz w:val="24"/>
          <w:szCs w:val="24"/>
        </w:rPr>
        <w:t xml:space="preserve">Općina je ulagala u popločavanje staza na groblju i popločavanje staza kod spomenika. </w:t>
      </w:r>
    </w:p>
    <w:p w14:paraId="5DB508E3" w14:textId="595180E3" w:rsidR="00970976" w:rsidRDefault="00970976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poslovanja mogu se prikazati prema funkcijskoj klasifikaciji, odnosno prema njihovoj namjeni. </w:t>
      </w:r>
    </w:p>
    <w:p w14:paraId="3CECA3DF" w14:textId="3396EA4A" w:rsidR="00970976" w:rsidRDefault="00970976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nastavku je dan</w:t>
      </w:r>
      <w:r w:rsidR="000E7B0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0E7B08">
        <w:rPr>
          <w:rFonts w:ascii="Times New Roman" w:hAnsi="Times New Roman"/>
          <w:sz w:val="24"/>
          <w:szCs w:val="24"/>
        </w:rPr>
        <w:t>tablica</w:t>
      </w:r>
      <w:r>
        <w:rPr>
          <w:rFonts w:ascii="Times New Roman" w:hAnsi="Times New Roman"/>
          <w:sz w:val="24"/>
          <w:szCs w:val="24"/>
        </w:rPr>
        <w:t xml:space="preserve"> prema funkcijskoj klasifikaciji. 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7508"/>
        <w:gridCol w:w="2410"/>
      </w:tblGrid>
      <w:tr w:rsidR="000E7B08" w14:paraId="403A1227" w14:textId="77777777" w:rsidTr="009F1B4B">
        <w:tc>
          <w:tcPr>
            <w:tcW w:w="7508" w:type="dxa"/>
          </w:tcPr>
          <w:p w14:paraId="3AD6124E" w14:textId="4EA420B1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OPĆE JAVNE USLUGE</w:t>
            </w:r>
          </w:p>
        </w:tc>
        <w:tc>
          <w:tcPr>
            <w:tcW w:w="2410" w:type="dxa"/>
          </w:tcPr>
          <w:p w14:paraId="418902B8" w14:textId="4D5B3535" w:rsidR="000E7B08" w:rsidRPr="009F1B4B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305.838,49</w:t>
            </w:r>
          </w:p>
        </w:tc>
      </w:tr>
      <w:tr w:rsidR="000E7B08" w14:paraId="1417DD77" w14:textId="77777777" w:rsidTr="009F1B4B">
        <w:trPr>
          <w:trHeight w:val="1623"/>
        </w:trPr>
        <w:tc>
          <w:tcPr>
            <w:tcW w:w="7508" w:type="dxa"/>
          </w:tcPr>
          <w:p w14:paraId="4733F415" w14:textId="77777777" w:rsidR="000E7B08" w:rsidRDefault="000E7B08" w:rsidP="000E7B08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73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B08">
              <w:rPr>
                <w:rFonts w:ascii="Times New Roman" w:hAnsi="Times New Roman"/>
                <w:sz w:val="24"/>
                <w:szCs w:val="24"/>
              </w:rPr>
              <w:t>Izvršna i zakonodavna tijela, financijski i fiskalni poslovi, vanjski poslovi</w:t>
            </w:r>
          </w:p>
          <w:p w14:paraId="5E689541" w14:textId="77777777" w:rsidR="000E7B08" w:rsidRDefault="000E7B08" w:rsidP="000E7B08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731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Opće usluge</w:t>
            </w:r>
          </w:p>
          <w:p w14:paraId="0ED73CAF" w14:textId="17552E02" w:rsidR="000E7B08" w:rsidRPr="000E7B08" w:rsidRDefault="000E7B08" w:rsidP="000E7B08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73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Opće javne usluge koje nisu drugdje svrstane </w:t>
            </w:r>
          </w:p>
        </w:tc>
        <w:tc>
          <w:tcPr>
            <w:tcW w:w="2410" w:type="dxa"/>
          </w:tcPr>
          <w:p w14:paraId="06BE4235" w14:textId="1E7E43B5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17.217,44</w:t>
            </w:r>
          </w:p>
          <w:p w14:paraId="7C1307D8" w14:textId="7777777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59BD75" w14:textId="7777777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284.323,55</w:t>
            </w:r>
          </w:p>
          <w:p w14:paraId="723FC93B" w14:textId="7DBEBE23" w:rsidR="000E7B08" w:rsidRDefault="009F1B4B" w:rsidP="009F1B4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4.297,50</w:t>
            </w:r>
          </w:p>
        </w:tc>
      </w:tr>
      <w:tr w:rsidR="000E7B08" w14:paraId="5E3128F2" w14:textId="77777777" w:rsidTr="009F1B4B">
        <w:tc>
          <w:tcPr>
            <w:tcW w:w="7508" w:type="dxa"/>
          </w:tcPr>
          <w:p w14:paraId="7297C99C" w14:textId="39C62DF0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EKONOMSKI POSLOVI</w:t>
            </w:r>
          </w:p>
        </w:tc>
        <w:tc>
          <w:tcPr>
            <w:tcW w:w="2410" w:type="dxa"/>
          </w:tcPr>
          <w:p w14:paraId="441E6C65" w14:textId="2A8A191E" w:rsidR="000E7B08" w:rsidRPr="009F1B4B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265.422,65</w:t>
            </w:r>
          </w:p>
        </w:tc>
      </w:tr>
      <w:tr w:rsidR="000E7B08" w14:paraId="6B646C14" w14:textId="77777777" w:rsidTr="009F1B4B">
        <w:tc>
          <w:tcPr>
            <w:tcW w:w="7508" w:type="dxa"/>
          </w:tcPr>
          <w:p w14:paraId="07FE3662" w14:textId="77777777" w:rsidR="000E7B08" w:rsidRDefault="000E7B08" w:rsidP="000E7B08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Poljoprivreda, šumarstvo, ribarstvo i lov</w:t>
            </w:r>
          </w:p>
          <w:p w14:paraId="1EFCA5FB" w14:textId="7A2B2568" w:rsidR="000E7B08" w:rsidRPr="000E7B08" w:rsidRDefault="000E7B08" w:rsidP="000E7B08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Promet </w:t>
            </w:r>
          </w:p>
        </w:tc>
        <w:tc>
          <w:tcPr>
            <w:tcW w:w="2410" w:type="dxa"/>
          </w:tcPr>
          <w:p w14:paraId="2E5E571C" w14:textId="7777777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3.677,99</w:t>
            </w:r>
          </w:p>
          <w:p w14:paraId="5D784E65" w14:textId="0ACB6F50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261.744,66</w:t>
            </w:r>
          </w:p>
        </w:tc>
      </w:tr>
      <w:tr w:rsidR="000E7B08" w14:paraId="1A5ECD46" w14:textId="77777777" w:rsidTr="009F1B4B">
        <w:tc>
          <w:tcPr>
            <w:tcW w:w="7508" w:type="dxa"/>
          </w:tcPr>
          <w:p w14:paraId="069330FB" w14:textId="4DD86E27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ZAŠTITA OKOLIŠA</w:t>
            </w:r>
          </w:p>
        </w:tc>
        <w:tc>
          <w:tcPr>
            <w:tcW w:w="2410" w:type="dxa"/>
          </w:tcPr>
          <w:p w14:paraId="57CACE72" w14:textId="62006A7D" w:rsidR="000E7B08" w:rsidRPr="009F1B4B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787,50</w:t>
            </w:r>
          </w:p>
        </w:tc>
      </w:tr>
      <w:tr w:rsidR="000E7B08" w14:paraId="659A6390" w14:textId="77777777" w:rsidTr="009F1B4B">
        <w:tc>
          <w:tcPr>
            <w:tcW w:w="7508" w:type="dxa"/>
          </w:tcPr>
          <w:p w14:paraId="41F5B273" w14:textId="03069B93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USLUGE UNAPREĐENJA STANOVANJA I ZAJEDNICE</w:t>
            </w:r>
          </w:p>
        </w:tc>
        <w:tc>
          <w:tcPr>
            <w:tcW w:w="2410" w:type="dxa"/>
          </w:tcPr>
          <w:p w14:paraId="09CBAC37" w14:textId="273D7A08" w:rsidR="000E7B08" w:rsidRPr="009F1B4B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468.415,14</w:t>
            </w:r>
          </w:p>
        </w:tc>
      </w:tr>
      <w:tr w:rsidR="000E7B08" w14:paraId="77CA6C31" w14:textId="77777777" w:rsidTr="009F1B4B">
        <w:tc>
          <w:tcPr>
            <w:tcW w:w="7508" w:type="dxa"/>
          </w:tcPr>
          <w:p w14:paraId="35684BBE" w14:textId="77777777" w:rsidR="000E7B08" w:rsidRDefault="000E7B08" w:rsidP="000E7B08">
            <w:pPr>
              <w:pStyle w:val="Odlomakpopis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Razvoj zajednice </w:t>
            </w:r>
          </w:p>
          <w:p w14:paraId="704BD322" w14:textId="77777777" w:rsidR="000E7B08" w:rsidRDefault="000E7B08" w:rsidP="000E7B08">
            <w:pPr>
              <w:pStyle w:val="Odlomakpopis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Opskrba vodom </w:t>
            </w:r>
          </w:p>
          <w:p w14:paraId="436178D3" w14:textId="77777777" w:rsidR="000E7B08" w:rsidRDefault="000E7B08" w:rsidP="000E7B08">
            <w:pPr>
              <w:pStyle w:val="Odlomakpopis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Ulična rasvjeta </w:t>
            </w:r>
          </w:p>
          <w:p w14:paraId="6EEA843F" w14:textId="18F3A252" w:rsidR="000E7B08" w:rsidRPr="000E7B08" w:rsidRDefault="000E7B08" w:rsidP="000E7B08">
            <w:pPr>
              <w:pStyle w:val="Odlomakpopis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Rashodi vezani za stanovanje i kom. pogodnosti koji nisu drugdje svrstani</w:t>
            </w:r>
          </w:p>
        </w:tc>
        <w:tc>
          <w:tcPr>
            <w:tcW w:w="2410" w:type="dxa"/>
          </w:tcPr>
          <w:p w14:paraId="6B517B3F" w14:textId="7777777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225.597,31</w:t>
            </w:r>
          </w:p>
          <w:p w14:paraId="644DB85A" w14:textId="7777777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82.620,36</w:t>
            </w:r>
          </w:p>
          <w:p w14:paraId="3BB1D7B4" w14:textId="7777777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14.372,72</w:t>
            </w:r>
          </w:p>
          <w:p w14:paraId="35E0452C" w14:textId="665BB89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145.824,75</w:t>
            </w:r>
          </w:p>
        </w:tc>
      </w:tr>
      <w:tr w:rsidR="000E7B08" w14:paraId="3739047D" w14:textId="77777777" w:rsidTr="009F1B4B">
        <w:tc>
          <w:tcPr>
            <w:tcW w:w="7508" w:type="dxa"/>
          </w:tcPr>
          <w:p w14:paraId="2BA59162" w14:textId="2F8AFBDE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ZDRAVSTVO</w:t>
            </w:r>
          </w:p>
        </w:tc>
        <w:tc>
          <w:tcPr>
            <w:tcW w:w="2410" w:type="dxa"/>
          </w:tcPr>
          <w:p w14:paraId="09C72091" w14:textId="75256AE5" w:rsidR="000E7B08" w:rsidRPr="009F1B4B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2.626,61</w:t>
            </w:r>
          </w:p>
        </w:tc>
      </w:tr>
      <w:tr w:rsidR="000E7B08" w14:paraId="52099034" w14:textId="77777777" w:rsidTr="009F1B4B">
        <w:tc>
          <w:tcPr>
            <w:tcW w:w="7508" w:type="dxa"/>
          </w:tcPr>
          <w:p w14:paraId="216DF086" w14:textId="01ED469A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REKREACIJA, KULTURA I RELIGIJA</w:t>
            </w:r>
          </w:p>
        </w:tc>
        <w:tc>
          <w:tcPr>
            <w:tcW w:w="2410" w:type="dxa"/>
          </w:tcPr>
          <w:p w14:paraId="11B1189A" w14:textId="17FC3D50" w:rsidR="000E7B08" w:rsidRPr="009F1B4B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33.118,75</w:t>
            </w:r>
          </w:p>
        </w:tc>
      </w:tr>
      <w:tr w:rsidR="000E7B08" w14:paraId="54B34621" w14:textId="77777777" w:rsidTr="009F1B4B">
        <w:tc>
          <w:tcPr>
            <w:tcW w:w="7508" w:type="dxa"/>
          </w:tcPr>
          <w:p w14:paraId="2766E544" w14:textId="77777777" w:rsidR="000E7B08" w:rsidRDefault="000E7B08" w:rsidP="000E7B08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Religijske i druge službe zajednice</w:t>
            </w:r>
          </w:p>
          <w:p w14:paraId="53EE06F0" w14:textId="2FCBC6F0" w:rsidR="000E7B08" w:rsidRPr="000E7B08" w:rsidRDefault="000E7B08" w:rsidP="000E7B08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Rashodi za rekreaciju, kulturu i religiju koji nisu drugdje svrstani </w:t>
            </w:r>
          </w:p>
        </w:tc>
        <w:tc>
          <w:tcPr>
            <w:tcW w:w="2410" w:type="dxa"/>
          </w:tcPr>
          <w:p w14:paraId="6447E422" w14:textId="7777777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28.718,75</w:t>
            </w:r>
          </w:p>
          <w:p w14:paraId="6D8CFC2D" w14:textId="6DD27DB0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4.400,00</w:t>
            </w:r>
          </w:p>
        </w:tc>
      </w:tr>
      <w:tr w:rsidR="000E7B08" w14:paraId="5B8C5C8A" w14:textId="77777777" w:rsidTr="009F1B4B">
        <w:tc>
          <w:tcPr>
            <w:tcW w:w="7508" w:type="dxa"/>
          </w:tcPr>
          <w:p w14:paraId="7C963C85" w14:textId="17C41456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OBRAZOVANJE</w:t>
            </w:r>
          </w:p>
        </w:tc>
        <w:tc>
          <w:tcPr>
            <w:tcW w:w="2410" w:type="dxa"/>
          </w:tcPr>
          <w:p w14:paraId="2A9CC709" w14:textId="5A9C32B5" w:rsidR="000E7B08" w:rsidRPr="009F1B4B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110.929,05</w:t>
            </w:r>
          </w:p>
        </w:tc>
      </w:tr>
      <w:tr w:rsidR="000E7B08" w14:paraId="5DF9374E" w14:textId="77777777" w:rsidTr="009F1B4B">
        <w:tc>
          <w:tcPr>
            <w:tcW w:w="7508" w:type="dxa"/>
          </w:tcPr>
          <w:p w14:paraId="58845004" w14:textId="77777777" w:rsidR="000E7B08" w:rsidRDefault="000E7B08" w:rsidP="000E7B08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Predškolsko i osnovno obrazovanje </w:t>
            </w:r>
          </w:p>
          <w:p w14:paraId="4A93C7DA" w14:textId="77777777" w:rsidR="000E7B08" w:rsidRDefault="000E7B08" w:rsidP="000E7B08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Obrazovanje koje se ne može definirati po stupnju</w:t>
            </w:r>
          </w:p>
          <w:p w14:paraId="42D96700" w14:textId="77777777" w:rsidR="000E7B08" w:rsidRDefault="000E7B08" w:rsidP="000E7B08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Dodatne usluge u obrazovanju </w:t>
            </w:r>
          </w:p>
          <w:p w14:paraId="32C703C8" w14:textId="6AF10188" w:rsidR="000E7B08" w:rsidRPr="000E7B08" w:rsidRDefault="000E7B08" w:rsidP="000E7B08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Usluge obrazovanja koje nisu drugdje svrstane </w:t>
            </w:r>
          </w:p>
        </w:tc>
        <w:tc>
          <w:tcPr>
            <w:tcW w:w="2410" w:type="dxa"/>
          </w:tcPr>
          <w:p w14:paraId="2B89DEB9" w14:textId="7777777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84.742,47</w:t>
            </w:r>
          </w:p>
          <w:p w14:paraId="01310666" w14:textId="19913389" w:rsidR="000E7B08" w:rsidRDefault="009F1B4B" w:rsidP="009F1B4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4.800,00</w:t>
            </w:r>
          </w:p>
          <w:p w14:paraId="010090D9" w14:textId="7777777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4.055,57</w:t>
            </w:r>
          </w:p>
          <w:p w14:paraId="17E8EDD8" w14:textId="2CD39C63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17.331,01</w:t>
            </w:r>
          </w:p>
        </w:tc>
      </w:tr>
      <w:tr w:rsidR="000E7B08" w14:paraId="333DD3C9" w14:textId="77777777" w:rsidTr="009F1B4B">
        <w:tc>
          <w:tcPr>
            <w:tcW w:w="7508" w:type="dxa"/>
          </w:tcPr>
          <w:p w14:paraId="3CCBA23F" w14:textId="06BA28FD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SOCIJALNA ZAŠTITA</w:t>
            </w:r>
          </w:p>
        </w:tc>
        <w:tc>
          <w:tcPr>
            <w:tcW w:w="2410" w:type="dxa"/>
          </w:tcPr>
          <w:p w14:paraId="6B1C2ED7" w14:textId="3F52CB7C" w:rsidR="000E7B08" w:rsidRPr="009F1B4B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2.309,05</w:t>
            </w:r>
          </w:p>
        </w:tc>
      </w:tr>
      <w:tr w:rsidR="000E7B08" w14:paraId="366D1D41" w14:textId="77777777" w:rsidTr="009F1B4B">
        <w:tc>
          <w:tcPr>
            <w:tcW w:w="7508" w:type="dxa"/>
          </w:tcPr>
          <w:p w14:paraId="7005E0D2" w14:textId="77777777" w:rsidR="000E7B08" w:rsidRDefault="000E7B08" w:rsidP="000E7B08">
            <w:pPr>
              <w:pStyle w:val="Odlomakpopis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Obitelj i djeca </w:t>
            </w:r>
          </w:p>
          <w:p w14:paraId="65F28C3A" w14:textId="7919426A" w:rsidR="000E7B08" w:rsidRPr="000E7B08" w:rsidRDefault="000E7B08" w:rsidP="000E7B08">
            <w:pPr>
              <w:pStyle w:val="Odlomakpopis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Socijalna pomoć stanovništvu koje nije obuhvaćeno redovnim socijalnim programima </w:t>
            </w:r>
          </w:p>
        </w:tc>
        <w:tc>
          <w:tcPr>
            <w:tcW w:w="2410" w:type="dxa"/>
          </w:tcPr>
          <w:p w14:paraId="01500154" w14:textId="7777777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1.659,05</w:t>
            </w:r>
          </w:p>
          <w:p w14:paraId="24FA6E7B" w14:textId="1659E422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</w:tbl>
    <w:p w14:paraId="6023DCA3" w14:textId="77777777" w:rsidR="00F00DD9" w:rsidRDefault="00F00DD9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908C086" w14:textId="32DCD130" w:rsidR="000F49E4" w:rsidRDefault="00970976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namjeni, rashodi poslovanja najviše</w:t>
      </w:r>
      <w:r w:rsidR="00F00DD9">
        <w:rPr>
          <w:rFonts w:ascii="Times New Roman" w:hAnsi="Times New Roman"/>
          <w:sz w:val="24"/>
          <w:szCs w:val="24"/>
        </w:rPr>
        <w:t xml:space="preserve"> su se odnosili na</w:t>
      </w:r>
      <w:r w:rsidR="009F1B4B">
        <w:rPr>
          <w:rFonts w:ascii="Times New Roman" w:hAnsi="Times New Roman"/>
          <w:sz w:val="24"/>
          <w:szCs w:val="24"/>
        </w:rPr>
        <w:t xml:space="preserve"> usluge unapređenja stanovanja i zajednice, zatim na</w:t>
      </w:r>
      <w:r w:rsidR="00F00DD9">
        <w:rPr>
          <w:rFonts w:ascii="Times New Roman" w:hAnsi="Times New Roman"/>
          <w:sz w:val="24"/>
          <w:szCs w:val="24"/>
        </w:rPr>
        <w:t xml:space="preserve"> opće </w:t>
      </w:r>
      <w:r w:rsidR="009F1B4B">
        <w:rPr>
          <w:rFonts w:ascii="Times New Roman" w:hAnsi="Times New Roman"/>
          <w:sz w:val="24"/>
          <w:szCs w:val="24"/>
        </w:rPr>
        <w:t xml:space="preserve">usluge, ekonomske poslove, obrazovanje, rekreacija, kultura i religija, zdravstvo, socijalna zaštita i zaštita okoliša. </w:t>
      </w:r>
    </w:p>
    <w:p w14:paraId="5C51E073" w14:textId="101ACF7E" w:rsidR="009F1B4B" w:rsidRDefault="009F1B4B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Opće usluge sastoje se od izvršnih i zakonodavnih tijela koje se odnose na naknade za rad. Opće usluge odnose se na plaće i račune potrebne za poslovanje općine Saborsko. </w:t>
      </w:r>
    </w:p>
    <w:p w14:paraId="6F96D0F0" w14:textId="6F2F1939" w:rsidR="009F1B4B" w:rsidRDefault="009F1B4B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Prema ekonomskim poslovima najviše se je ulagalo u promet, odnosno u asfaltiranje cesta. </w:t>
      </w:r>
    </w:p>
    <w:p w14:paraId="7CE7A0F4" w14:textId="5D57FC08" w:rsidR="009F1B4B" w:rsidRDefault="009F1B4B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Usluge unapređenja stanovanja i zajednice </w:t>
      </w:r>
      <w:r w:rsidR="00B854AF">
        <w:rPr>
          <w:rFonts w:ascii="Times New Roman" w:hAnsi="Times New Roman"/>
          <w:sz w:val="24"/>
          <w:szCs w:val="24"/>
        </w:rPr>
        <w:t xml:space="preserve">– najviše se je ulagalo u razvoj zajednice i to kroz popločavanje groblja, čišćenja javnih površina, čišćenje snijega u zimskom periodu, izgradnju dječjeg igrališta u Ličkoj Jesenici, razvoj turizma, popločavanje dodatnih staza kod spomenika, izrada sjenica. </w:t>
      </w:r>
    </w:p>
    <w:p w14:paraId="491E1E32" w14:textId="62737E1E" w:rsidR="00B854AF" w:rsidRDefault="00B854AF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Opskrba vodom se odnosi na sufinanciranje gubitaka na vodoopskrbnom sustavu, a ulična rasvjeta na održavanje javne rasvjete i nabavu novih Led lampi. </w:t>
      </w:r>
    </w:p>
    <w:p w14:paraId="3FF8B038" w14:textId="03BA42EF" w:rsidR="00AA2597" w:rsidRDefault="00F00DD9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toga, prema funkc</w:t>
      </w:r>
      <w:r w:rsidR="00AA2597">
        <w:rPr>
          <w:rFonts w:ascii="Times New Roman" w:hAnsi="Times New Roman"/>
          <w:sz w:val="24"/>
          <w:szCs w:val="24"/>
        </w:rPr>
        <w:t xml:space="preserve">ijskoj klasifikaciji i namjeni, rashodi se odnose na obrazovanje, gdje se je najviše ulagalo u predškolsko obrazovanje. </w:t>
      </w:r>
    </w:p>
    <w:p w14:paraId="1BA66BDF" w14:textId="77777777" w:rsidR="001520DA" w:rsidRDefault="001520D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7556BD4" w14:textId="55E6098D" w:rsidR="00970976" w:rsidRDefault="000C2B8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Izvršenje proračuna po programskoj klasifikaciji </w:t>
      </w:r>
    </w:p>
    <w:p w14:paraId="011EDE24" w14:textId="7819D555" w:rsidR="000C2B8A" w:rsidRDefault="00784EEF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Programska klasifikacija uspostavlja se definiranjem glavnog programa, a koji se sastoji od skupa aktivnosti i/ili projekata koji su usko povezani za glavni program. </w:t>
      </w:r>
    </w:p>
    <w:p w14:paraId="596E2140" w14:textId="30F06E5C" w:rsidR="00784EEF" w:rsidRDefault="00784EEF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Tako je Općina uspostavila svoje glavne programe, koji se sastoje od </w:t>
      </w:r>
      <w:r w:rsidR="001520DA">
        <w:rPr>
          <w:rFonts w:ascii="Times New Roman" w:hAnsi="Times New Roman"/>
          <w:sz w:val="24"/>
          <w:szCs w:val="24"/>
        </w:rPr>
        <w:t>javne uprave i administracije</w:t>
      </w:r>
      <w:r>
        <w:rPr>
          <w:rFonts w:ascii="Times New Roman" w:hAnsi="Times New Roman"/>
          <w:sz w:val="24"/>
          <w:szCs w:val="24"/>
        </w:rPr>
        <w:t xml:space="preserve">, </w:t>
      </w:r>
      <w:r w:rsidR="001520DA">
        <w:rPr>
          <w:rFonts w:ascii="Times New Roman" w:hAnsi="Times New Roman"/>
          <w:sz w:val="24"/>
          <w:szCs w:val="24"/>
        </w:rPr>
        <w:t>jačanje gospodarstva, poljoprivrede i turizma,</w:t>
      </w:r>
      <w:r w:rsidR="000B50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održavanja komunalne infrastrukture</w:t>
      </w:r>
      <w:r w:rsidR="006916FA">
        <w:rPr>
          <w:rFonts w:ascii="Times New Roman" w:hAnsi="Times New Roman"/>
          <w:sz w:val="24"/>
          <w:szCs w:val="24"/>
        </w:rPr>
        <w:t>,</w:t>
      </w:r>
      <w:r w:rsidR="006916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programa gradnje komunalne infrastrukture, </w:t>
      </w:r>
      <w:r w:rsidR="006916FA">
        <w:rPr>
          <w:rFonts w:ascii="Times New Roman" w:hAnsi="Times New Roman"/>
          <w:sz w:val="24"/>
          <w:szCs w:val="24"/>
        </w:rPr>
        <w:t>upravljanje zgradama i prostorima u vlasništvu općine</w:t>
      </w:r>
      <w:r w:rsidR="00AA2597">
        <w:rPr>
          <w:rFonts w:ascii="Times New Roman" w:hAnsi="Times New Roman"/>
          <w:sz w:val="24"/>
          <w:szCs w:val="24"/>
        </w:rPr>
        <w:t xml:space="preserve">, </w:t>
      </w:r>
      <w:r w:rsidR="006916FA">
        <w:rPr>
          <w:rFonts w:ascii="Times New Roman" w:hAnsi="Times New Roman"/>
          <w:sz w:val="24"/>
          <w:szCs w:val="24"/>
        </w:rPr>
        <w:t>promicanje kulture, program socijalne skrbi i potpora civilnom društvu, poticanje predškolskog i školskog obrazovanja, organiziranje i provođenje zaštite i spašavanja, poticanje razvoja turizma</w:t>
      </w:r>
      <w:r w:rsidR="00AA2597">
        <w:rPr>
          <w:rFonts w:ascii="Times New Roman" w:hAnsi="Times New Roman"/>
          <w:sz w:val="24"/>
          <w:szCs w:val="24"/>
        </w:rPr>
        <w:t xml:space="preserve"> i zaštita okoliša. </w:t>
      </w:r>
    </w:p>
    <w:p w14:paraId="1C57A934" w14:textId="43766D20" w:rsidR="00E108E0" w:rsidRDefault="00E108E0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Ukupno ostvareni rashodi po programima iznose </w:t>
      </w:r>
      <w:r w:rsidR="001520DA">
        <w:rPr>
          <w:rFonts w:ascii="Times New Roman" w:hAnsi="Times New Roman"/>
          <w:sz w:val="24"/>
          <w:szCs w:val="24"/>
        </w:rPr>
        <w:t>1.189.447,24</w:t>
      </w:r>
      <w:r w:rsidR="00AA2597">
        <w:rPr>
          <w:rFonts w:ascii="Times New Roman" w:hAnsi="Times New Roman"/>
          <w:sz w:val="24"/>
          <w:szCs w:val="24"/>
        </w:rPr>
        <w:t xml:space="preserve"> Eura. </w:t>
      </w:r>
    </w:p>
    <w:p w14:paraId="71B56E00" w14:textId="0107642F" w:rsidR="00DE2E4A" w:rsidRDefault="00DE2E4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programa, najviše se je ulagalo u program </w:t>
      </w:r>
      <w:r w:rsidR="006916FA">
        <w:rPr>
          <w:rFonts w:ascii="Times New Roman" w:hAnsi="Times New Roman"/>
          <w:sz w:val="24"/>
          <w:szCs w:val="24"/>
        </w:rPr>
        <w:t xml:space="preserve">gradnje komunalne infrastrukture, </w:t>
      </w:r>
      <w:r>
        <w:rPr>
          <w:rFonts w:ascii="Times New Roman" w:hAnsi="Times New Roman"/>
          <w:sz w:val="24"/>
          <w:szCs w:val="24"/>
        </w:rPr>
        <w:t>javne uprave i administracije, održavanj</w:t>
      </w:r>
      <w:r w:rsidR="004C5774">
        <w:rPr>
          <w:rFonts w:ascii="Times New Roman" w:hAnsi="Times New Roman"/>
          <w:sz w:val="24"/>
          <w:szCs w:val="24"/>
        </w:rPr>
        <w:t xml:space="preserve">e komunalne infrastrukture, </w:t>
      </w:r>
      <w:r w:rsidR="006916FA">
        <w:rPr>
          <w:rFonts w:ascii="Times New Roman" w:hAnsi="Times New Roman"/>
          <w:sz w:val="24"/>
          <w:szCs w:val="24"/>
        </w:rPr>
        <w:t xml:space="preserve">predškolski i školski odgoj, jačanje gospodarstva, poljoprivrede i turizma, razvoj turizma i ostali programi.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14:paraId="25646932" w14:textId="07C430E7" w:rsidR="00DE2E4A" w:rsidRDefault="00DE2E4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toga se može zaključiti da je Općini glavni cilj da se razvije gospodarstvo, a samim time i razvoj zajednice, da se ulaže u komunalnu infrastrukturu, kako bi se poboljšala trenutna situacija na području Općine Saborsko, te kako bi se omogućilo lakše kretanje stanovnicima s područja Općine</w:t>
      </w:r>
      <w:r w:rsidR="00B45F68">
        <w:rPr>
          <w:rFonts w:ascii="Times New Roman" w:hAnsi="Times New Roman"/>
          <w:sz w:val="24"/>
          <w:szCs w:val="24"/>
        </w:rPr>
        <w:t xml:space="preserve"> i kako bi se poboljšala kvaliteta života. </w:t>
      </w:r>
    </w:p>
    <w:p w14:paraId="5D294E30" w14:textId="6101AEDA" w:rsidR="00DE2E4A" w:rsidRDefault="00DE2E4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 to, Općini je i cilj da zadrži mlade na svome području, i to kroz financiranje vrtića, školstva, radnih bilježnica, učeničkih domova i stipendija, a sve kako bi mladi ostali na ovom području i time pridonijeli razvoju Općine. </w:t>
      </w:r>
    </w:p>
    <w:p w14:paraId="7733ED65" w14:textId="7325A485" w:rsidR="00DE2E4A" w:rsidRDefault="00DE2E4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Ulaže se i u turizam, kako bi se poboljšao udio u turizmu i kako bi se turistima ponudilo više sadržaja na području. Ulaže se kroz Turističku zajednicu Plitvičke doline, koje se javljaju na razne natječaje, kako bi dobila sredstva kojima bi ulagala u turizam na području Općine i kako bi se zadržal</w:t>
      </w:r>
      <w:r w:rsidR="00B45F6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postojeć</w:t>
      </w:r>
      <w:r w:rsidR="00B45F6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turist</w:t>
      </w:r>
      <w:r w:rsidR="00B45F6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a i dobil</w:t>
      </w:r>
      <w:r w:rsidR="00B45F6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nov</w:t>
      </w:r>
      <w:r w:rsidR="00E3534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posjetitelj</w:t>
      </w:r>
      <w:r w:rsidR="00B45F6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549DCAE" w14:textId="77777777" w:rsidR="00B45F68" w:rsidRDefault="00B45F68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1F7903" w14:textId="77777777" w:rsidR="000F49E4" w:rsidRDefault="000F49E4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51C55A" w14:textId="77777777" w:rsidR="000F7AE7" w:rsidRDefault="000F7AE7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9C33DC" w14:textId="401A7B87" w:rsidR="00BA3019" w:rsidRPr="00BA3019" w:rsidRDefault="00BA3019" w:rsidP="00DD4649">
      <w:pPr>
        <w:pStyle w:val="s4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sectPr w:rsidR="00BA3019" w:rsidRPr="00BA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14AA"/>
    <w:multiLevelType w:val="hybridMultilevel"/>
    <w:tmpl w:val="01F6A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17C0"/>
    <w:multiLevelType w:val="hybridMultilevel"/>
    <w:tmpl w:val="AF5AA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A61EE"/>
    <w:multiLevelType w:val="hybridMultilevel"/>
    <w:tmpl w:val="F192E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A7FB8"/>
    <w:multiLevelType w:val="hybridMultilevel"/>
    <w:tmpl w:val="DBC84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91A5C"/>
    <w:multiLevelType w:val="hybridMultilevel"/>
    <w:tmpl w:val="C448B68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5A35FF6"/>
    <w:multiLevelType w:val="hybridMultilevel"/>
    <w:tmpl w:val="32F67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05738"/>
    <w:multiLevelType w:val="hybridMultilevel"/>
    <w:tmpl w:val="EC8A0614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A7"/>
    <w:rsid w:val="00011C0E"/>
    <w:rsid w:val="00017A35"/>
    <w:rsid w:val="00075D25"/>
    <w:rsid w:val="000B50D0"/>
    <w:rsid w:val="000B5D1A"/>
    <w:rsid w:val="000C2B8A"/>
    <w:rsid w:val="000E7B08"/>
    <w:rsid w:val="000F49E4"/>
    <w:rsid w:val="000F7AE7"/>
    <w:rsid w:val="00140998"/>
    <w:rsid w:val="001520DA"/>
    <w:rsid w:val="002A5389"/>
    <w:rsid w:val="003C1175"/>
    <w:rsid w:val="004725D6"/>
    <w:rsid w:val="00486AD3"/>
    <w:rsid w:val="004C0708"/>
    <w:rsid w:val="004C5774"/>
    <w:rsid w:val="00510E37"/>
    <w:rsid w:val="00583BE5"/>
    <w:rsid w:val="005C155F"/>
    <w:rsid w:val="00676685"/>
    <w:rsid w:val="006916FA"/>
    <w:rsid w:val="006A67F4"/>
    <w:rsid w:val="00775A0C"/>
    <w:rsid w:val="00784EEF"/>
    <w:rsid w:val="007E6D6A"/>
    <w:rsid w:val="00823312"/>
    <w:rsid w:val="00880C51"/>
    <w:rsid w:val="009228CA"/>
    <w:rsid w:val="00970976"/>
    <w:rsid w:val="009A69E9"/>
    <w:rsid w:val="009D72CA"/>
    <w:rsid w:val="009F1B4B"/>
    <w:rsid w:val="00A443F3"/>
    <w:rsid w:val="00A91750"/>
    <w:rsid w:val="00AA2597"/>
    <w:rsid w:val="00AB2343"/>
    <w:rsid w:val="00B33B3D"/>
    <w:rsid w:val="00B45F68"/>
    <w:rsid w:val="00B854AF"/>
    <w:rsid w:val="00BA3019"/>
    <w:rsid w:val="00BA78C4"/>
    <w:rsid w:val="00BF55A7"/>
    <w:rsid w:val="00C8176A"/>
    <w:rsid w:val="00D73867"/>
    <w:rsid w:val="00DA4771"/>
    <w:rsid w:val="00DD4649"/>
    <w:rsid w:val="00DE2E4A"/>
    <w:rsid w:val="00E108E0"/>
    <w:rsid w:val="00E14196"/>
    <w:rsid w:val="00E35345"/>
    <w:rsid w:val="00E615BF"/>
    <w:rsid w:val="00ED001F"/>
    <w:rsid w:val="00EF56AA"/>
    <w:rsid w:val="00F00DD9"/>
    <w:rsid w:val="00F047B9"/>
    <w:rsid w:val="00F11BAC"/>
    <w:rsid w:val="00F33BEF"/>
    <w:rsid w:val="00F6138E"/>
    <w:rsid w:val="00F8286C"/>
    <w:rsid w:val="00FB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2165"/>
  <w15:chartTrackingRefBased/>
  <w15:docId w15:val="{C6F54720-0EEC-4589-B429-9E55A1BC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4">
    <w:name w:val="s4"/>
    <w:basedOn w:val="Normal"/>
    <w:rsid w:val="00F11B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</w:style>
  <w:style w:type="table" w:styleId="Reetkatablice">
    <w:name w:val="Table Grid"/>
    <w:basedOn w:val="Obinatablica"/>
    <w:uiPriority w:val="39"/>
    <w:rsid w:val="000E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E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Prihodi poslovanja po izvorima financiranja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4"/>
                </a:gs>
                <a:gs pos="100000">
                  <a:schemeClr val="accent4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List1!$A$15:$A$19</c:f>
              <c:strCache>
                <c:ptCount val="5"/>
                <c:pt idx="0">
                  <c:v>Opći prihodi i primici </c:v>
                </c:pt>
                <c:pt idx="1">
                  <c:v>Vlastiti prihodi </c:v>
                </c:pt>
                <c:pt idx="2">
                  <c:v>Prihodi za posebne namjene </c:v>
                </c:pt>
                <c:pt idx="3">
                  <c:v>Pomoći </c:v>
                </c:pt>
                <c:pt idx="4">
                  <c:v>Prihod od prodaje dugotrajne imovine </c:v>
                </c:pt>
              </c:strCache>
            </c:strRef>
          </c:cat>
          <c:val>
            <c:numRef>
              <c:f>List1!$B$15:$B$19</c:f>
              <c:numCache>
                <c:formatCode>#,##0.00</c:formatCode>
                <c:ptCount val="5"/>
                <c:pt idx="0">
                  <c:v>160964.9</c:v>
                </c:pt>
                <c:pt idx="1">
                  <c:v>14821.24</c:v>
                </c:pt>
                <c:pt idx="2">
                  <c:v>611687.29</c:v>
                </c:pt>
                <c:pt idx="3">
                  <c:v>308816.46999999997</c:v>
                </c:pt>
                <c:pt idx="4">
                  <c:v>8100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9C-4907-BD0C-DCE6E8B8AF4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8660191"/>
        <c:axId val="18647711"/>
      </c:barChart>
      <c:catAx>
        <c:axId val="18660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8647711"/>
        <c:crosses val="autoZero"/>
        <c:auto val="1"/>
        <c:lblAlgn val="ctr"/>
        <c:lblOffset val="100"/>
        <c:noMultiLvlLbl val="0"/>
      </c:catAx>
      <c:valAx>
        <c:axId val="18647711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186601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poslovanja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5">
                    <a:lumMod val="110000"/>
                    <a:satMod val="105000"/>
                    <a:tint val="67000"/>
                  </a:schemeClr>
                </a:gs>
                <a:gs pos="50000">
                  <a:schemeClr val="accent5">
                    <a:lumMod val="105000"/>
                    <a:satMod val="103000"/>
                    <a:tint val="73000"/>
                  </a:schemeClr>
                </a:gs>
                <a:gs pos="100000">
                  <a:schemeClr val="accent5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5">
                  <a:shade val="95000"/>
                </a:schemeClr>
              </a:contourClr>
            </a:sp3d>
          </c:spPr>
          <c:invertIfNegative val="0"/>
          <c:dLbls>
            <c:dLbl>
              <c:idx val="2"/>
              <c:layout>
                <c:manualLayout>
                  <c:x val="5.1350154935812242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48-4CC9-A9DB-0277EE5CAAFE}"/>
                </c:ext>
              </c:extLst>
            </c:dLbl>
            <c:dLbl>
              <c:idx val="3"/>
              <c:layout>
                <c:manualLayout>
                  <c:x val="3.5413899955732561E-2"/>
                  <c:y val="-1.3888888888888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48-4CC9-A9DB-0277EE5CAAFE}"/>
                </c:ext>
              </c:extLst>
            </c:dLbl>
            <c:dLbl>
              <c:idx val="5"/>
              <c:layout>
                <c:manualLayout>
                  <c:x val="4.072598494909252E-2"/>
                  <c:y val="-4.2437781360066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48-4CC9-A9DB-0277EE5CAA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List1!$A$15:$A$21</c:f>
              <c:strCache>
                <c:ptCount val="7"/>
                <c:pt idx="0">
                  <c:v>Rashodi za zaposlene </c:v>
                </c:pt>
                <c:pt idx="1">
                  <c:v>Materijalni rashodi </c:v>
                </c:pt>
                <c:pt idx="2">
                  <c:v>Financijski rashodi </c:v>
                </c:pt>
                <c:pt idx="3">
                  <c:v>Subvencije </c:v>
                </c:pt>
                <c:pt idx="4">
                  <c:v>Pomoći dane u inozemstvo i unutar općeg proračuna </c:v>
                </c:pt>
                <c:pt idx="5">
                  <c:v>Naknade građanima i kućanstvima </c:v>
                </c:pt>
                <c:pt idx="6">
                  <c:v>Ostali rashodi </c:v>
                </c:pt>
              </c:strCache>
            </c:strRef>
          </c:cat>
          <c:val>
            <c:numRef>
              <c:f>List1!$B$15:$B$21</c:f>
              <c:numCache>
                <c:formatCode>#,##0.00</c:formatCode>
                <c:ptCount val="7"/>
                <c:pt idx="0">
                  <c:v>129790.76</c:v>
                </c:pt>
                <c:pt idx="1">
                  <c:v>322594.93</c:v>
                </c:pt>
                <c:pt idx="2">
                  <c:v>2536.81</c:v>
                </c:pt>
                <c:pt idx="3">
                  <c:v>3677.99</c:v>
                </c:pt>
                <c:pt idx="4">
                  <c:v>90603.16</c:v>
                </c:pt>
                <c:pt idx="5">
                  <c:v>13840.12</c:v>
                </c:pt>
                <c:pt idx="6">
                  <c:v>142011.1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48-4CC9-A9DB-0277EE5CAA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66419007"/>
        <c:axId val="2066419423"/>
        <c:axId val="0"/>
      </c:bar3DChart>
      <c:catAx>
        <c:axId val="20664190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66419423"/>
        <c:crosses val="autoZero"/>
        <c:auto val="1"/>
        <c:lblAlgn val="ctr"/>
        <c:lblOffset val="100"/>
        <c:noMultiLvlLbl val="0"/>
      </c:catAx>
      <c:valAx>
        <c:axId val="2066419423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2066419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Helena Matijašić</cp:lastModifiedBy>
  <cp:revision>23</cp:revision>
  <dcterms:created xsi:type="dcterms:W3CDTF">2023-05-22T11:54:00Z</dcterms:created>
  <dcterms:modified xsi:type="dcterms:W3CDTF">2025-04-22T07:21:00Z</dcterms:modified>
</cp:coreProperties>
</file>