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0d490944a6f41e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27530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SABORSKO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371.585,03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343.175,32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306.131,83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298.824,43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65.453,20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44.350,89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130.929,36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54.597,13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122.829,36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54.597,13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57.376,16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10.246,24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17,9</w:t>
            </w:r>
          </w:p>
        </w:tc>
      </w:tr>
    </w:tbl>
    <w:p>
      <w:pPr>
        <w:spacing w:before="0" w:after="0"/>
      </w:pPr>
    </w:p>
    <w:p>
      <w:pPr>
        <w:jc w:val="both"/>
        <w:pStyle w:val="Normal"/>
        <w:spacing w:line="240" w:lineRule="auto"/>
      </w:pPr>
      <w:r>
        <w:rPr>
          <w:sz w:val="24"/>
          <w:rFonts w:ascii="Times New Roman" w:hAnsi="Times New Roman"/>
        </w:rPr>
        <w:t>U polugodišnjem razdoblju prihodi su ostvareni u manjem iznosu nego prošle godine jer se neka sredstva po projektima nisu još dobila, neki prihodi su uplaćeni u manjem iznosu nego lani. 
U istom razdoblju, zbog potreba poslovanja, rashodi su povećani i veći su od prihoda u iznosu od 10.264.24 eura.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34.655,28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43.528,91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bl>
    <w:p>
      <w:pPr>
        <w:spacing w:before="0" w:after="0"/>
      </w:pPr>
    </w:p>
    <w:p>
      <w:pPr>
        <w:jc w:val="both"/>
        <w:pStyle w:val="Normal"/>
        <w:spacing w:line="240" w:lineRule="auto"/>
      </w:pPr>
      <w:r>
        <w:rPr>
          <w:sz w:val="24"/>
          <w:rFonts w:ascii="Times New Roman" w:hAnsi="Times New Roman"/>
        </w:rPr>
        <w:t>Porez na dohodak ostvaren je u većem iznosu nego prethodne godine zbog većih uplata poreza na dohodak od nesamostalnog rada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w:t>
            </w:r>
          </w:p>
        </w:tc>
      </w:tr>
    </w:tbl>
    <w:p>
      <w:pPr>
        <w:spacing w:before="0" w:after="0"/>
      </w:pPr>
    </w:p>
    <w:p>
      <w:pPr>
        <w:jc w:val="both"/>
        <w:pStyle w:val="Normal"/>
        <w:spacing w:line="240" w:lineRule="auto"/>
      </w:pPr>
      <w:r>
        <w:rPr>
          <w:sz w:val="24"/>
          <w:rFonts w:ascii="Times New Roman" w:hAnsi="Times New Roman"/>
        </w:rPr>
        <w:t>Porezi na imovinu ostvareni su u manjem iznosu nego prethodne godine, i to za 23%. Razlog su manje uplate poreza na kuće za odmor.</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w:t>
            </w:r>
          </w:p>
        </w:tc>
      </w:tr>
    </w:tbl>
    <w:p>
      <w:pPr>
        <w:spacing w:before="0" w:after="0"/>
      </w:pPr>
    </w:p>
    <w:p>
      <w:pPr>
        <w:jc w:val="both"/>
        <w:pStyle w:val="Normal"/>
        <w:spacing w:line="240" w:lineRule="auto"/>
      </w:pPr>
      <w:r>
        <w:rPr>
          <w:sz w:val="24"/>
          <w:rFonts w:ascii="Times New Roman" w:hAnsi="Times New Roman"/>
        </w:rPr>
        <w:t>Porez na robu i usluge je ostvaren u manjem iznosu jer su bile manje uplate na porez na potrošnju alkoholnih i bezalkoholnih pića.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69.054,12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15.629,00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w:t>
            </w:r>
          </w:p>
        </w:tc>
      </w:tr>
    </w:tbl>
    <w:p>
      <w:pPr>
        <w:spacing w:before="0" w:after="0"/>
      </w:pPr>
    </w:p>
    <w:p>
      <w:pPr>
        <w:jc w:val="both"/>
        <w:pStyle w:val="Normal"/>
        <w:spacing w:line="240" w:lineRule="auto"/>
      </w:pPr>
      <w:r>
        <w:rPr>
          <w:sz w:val="24"/>
          <w:rFonts w:ascii="Times New Roman" w:hAnsi="Times New Roman"/>
        </w:rPr>
        <w:t>Prihodi su ostvareni u manjem iznosu zbog novog knjiženja prihoda od fiskalnog izravnanja.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se odnose na pomoći od HZZO za financiranje javnih radova.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58.978,56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se odnose na fiskalno izravnanje.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w:t>
            </w:r>
          </w:p>
        </w:tc>
      </w:tr>
    </w:tbl>
    <w:p>
      <w:pPr>
        <w:spacing w:before="0" w:after="0"/>
      </w:pPr>
    </w:p>
    <w:p>
      <w:pPr>
        <w:jc w:val="both"/>
        <w:pStyle w:val="Normal"/>
        <w:spacing w:line="240" w:lineRule="auto"/>
      </w:pPr>
      <w:r>
        <w:rPr>
          <w:sz w:val="24"/>
          <w:rFonts w:ascii="Times New Roman" w:hAnsi="Times New Roman"/>
        </w:rPr>
        <w:t>Prihodi su ostvareni u manjem iznosu jer su i uplate prihoda od zakupa i najamnine imovine ove godine manji u odnosu na prethodnu godinu. </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Upravne i administrativne pristojbe (šifre 6511 do 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340,1</w:t>
            </w:r>
          </w:p>
        </w:tc>
      </w:tr>
    </w:tbl>
    <w:p>
      <w:pPr>
        <w:spacing w:before="0" w:after="0"/>
      </w:pPr>
    </w:p>
    <w:p>
      <w:pPr>
        <w:jc w:val="both"/>
        <w:pStyle w:val="Normal"/>
        <w:spacing w:line="240" w:lineRule="auto"/>
      </w:pPr>
      <w:r>
        <w:rPr>
          <w:sz w:val="24"/>
          <w:rFonts w:ascii="Times New Roman" w:hAnsi="Times New Roman"/>
        </w:rPr>
        <w:t>Prihodi su veći jer je uplata turističke pristojbe veća u odnosu na prethodnu godinu. </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46.126,70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w:t>
            </w:r>
          </w:p>
        </w:tc>
      </w:tr>
    </w:tbl>
    <w:p>
      <w:pPr>
        <w:spacing w:before="0" w:after="0"/>
      </w:pPr>
    </w:p>
    <w:p>
      <w:pPr>
        <w:jc w:val="both"/>
        <w:pStyle w:val="Normal"/>
        <w:spacing w:line="240" w:lineRule="auto"/>
      </w:pPr>
      <w:r>
        <w:rPr>
          <w:sz w:val="24"/>
          <w:rFonts w:ascii="Times New Roman" w:hAnsi="Times New Roman"/>
        </w:rPr>
        <w:t>Ostvareni su u manjem iznosu nego prošle godine jer su uplate za šumski doprinos bile manje u odnosu na prethodnu godinu.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180.100,55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155.253,65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w:t>
            </w:r>
          </w:p>
        </w:tc>
      </w:tr>
    </w:tbl>
    <w:p>
      <w:pPr>
        <w:spacing w:before="0" w:after="0"/>
      </w:pPr>
    </w:p>
    <w:p>
      <w:pPr>
        <w:jc w:val="both"/>
        <w:pStyle w:val="Normal"/>
        <w:spacing w:line="240" w:lineRule="auto"/>
      </w:pPr>
      <w:r>
        <w:rPr>
          <w:sz w:val="24"/>
          <w:rFonts w:ascii="Times New Roman" w:hAnsi="Times New Roman"/>
        </w:rPr>
        <w:t>Ostvareni su u manjem iznosu jer su uplate za komunalne naknade manje od prethodne godine.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36.524,25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51.770,02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141,7</w:t>
            </w:r>
          </w:p>
        </w:tc>
      </w:tr>
    </w:tbl>
    <w:p>
      <w:pPr>
        <w:spacing w:before="0" w:after="0"/>
      </w:pPr>
    </w:p>
    <w:p>
      <w:pPr>
        <w:jc w:val="both"/>
        <w:pStyle w:val="Normal"/>
        <w:spacing w:line="240" w:lineRule="auto"/>
      </w:pPr>
      <w:r>
        <w:rPr>
          <w:sz w:val="24"/>
          <w:rFonts w:ascii="Times New Roman" w:hAnsi="Times New Roman"/>
        </w:rPr>
        <w:t>Rashodi vezani za plaće su povećani zbog porasta plaća službenicima i namještenicima. </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23.195,68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141,4</w:t>
            </w:r>
          </w:p>
        </w:tc>
      </w:tr>
    </w:tbl>
    <w:p>
      <w:pPr>
        <w:spacing w:before="0" w:after="0"/>
      </w:pPr>
    </w:p>
    <w:p>
      <w:pPr>
        <w:jc w:val="both"/>
        <w:pStyle w:val="Normal"/>
        <w:spacing w:line="240" w:lineRule="auto"/>
      </w:pPr>
      <w:r>
        <w:rPr>
          <w:sz w:val="24"/>
          <w:rFonts w:ascii="Times New Roman" w:hAnsi="Times New Roman"/>
        </w:rPr>
        <w:t>Zbog povećanja plaća, nastali su i veći doprinosi na plaće.</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142,8</w:t>
            </w:r>
          </w:p>
        </w:tc>
      </w:tr>
    </w:tbl>
    <w:p>
      <w:pPr>
        <w:spacing w:before="0" w:after="0"/>
      </w:pPr>
    </w:p>
    <w:p>
      <w:pPr>
        <w:jc w:val="both"/>
        <w:pStyle w:val="Normal"/>
        <w:spacing w:line="240" w:lineRule="auto"/>
      </w:pPr>
      <w:r>
        <w:rPr>
          <w:sz w:val="24"/>
          <w:rFonts w:ascii="Times New Roman" w:hAnsi="Times New Roman"/>
        </w:rPr>
        <w:t>Rashodi su povećani zbog većih troškova koji se odnose na energiju, a to su troškovi za pelete kojih u prethodnoj godini nije bilo, kao i zbog rashoda koji se odnose na sitan inventar. </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109.872,01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90.838,19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w:t>
            </w:r>
          </w:p>
        </w:tc>
      </w:tr>
    </w:tbl>
    <w:p>
      <w:pPr>
        <w:spacing w:before="0" w:after="0"/>
      </w:pPr>
    </w:p>
    <w:p>
      <w:pPr>
        <w:jc w:val="both"/>
        <w:pStyle w:val="Normal"/>
        <w:spacing w:line="240" w:lineRule="auto"/>
      </w:pPr>
      <w:r>
        <w:rPr>
          <w:sz w:val="24"/>
          <w:rFonts w:ascii="Times New Roman" w:hAnsi="Times New Roman"/>
        </w:rPr>
        <w:t>Smanjeni su rashodi jer su bili manji troškovi vezani za usluge telefona i pošte. Usluge za investicijsko i tekuće održavanje su manje jer se prošle godine ulagalo u održavanje. 
Intelektualne usluge su smanjene jer se s nekim dobavljačima nisu produžili ugovori.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167,6</w:t>
            </w:r>
          </w:p>
        </w:tc>
      </w:tr>
    </w:tbl>
    <w:p>
      <w:pPr>
        <w:spacing w:before="0" w:after="0"/>
      </w:pPr>
    </w:p>
    <w:p>
      <w:pPr>
        <w:jc w:val="both"/>
        <w:pStyle w:val="Normal"/>
        <w:spacing w:line="240" w:lineRule="auto"/>
      </w:pPr>
      <w:r>
        <w:rPr>
          <w:sz w:val="24"/>
          <w:rFonts w:ascii="Times New Roman" w:hAnsi="Times New Roman"/>
        </w:rPr>
        <w:t>Povećane su ove godine zbog većih troškova koji se odnose na grafičke usluge, potrebne za održavanje prvog traila.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18.084,73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31.166,53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172,3</w:t>
            </w:r>
          </w:p>
        </w:tc>
      </w:tr>
    </w:tbl>
    <w:p>
      <w:pPr>
        <w:spacing w:before="0" w:after="0"/>
      </w:pPr>
    </w:p>
    <w:p>
      <w:pPr>
        <w:jc w:val="both"/>
        <w:pStyle w:val="Normal"/>
        <w:spacing w:line="240" w:lineRule="auto"/>
      </w:pPr>
      <w:r>
        <w:rPr>
          <w:sz w:val="24"/>
          <w:rFonts w:ascii="Times New Roman" w:hAnsi="Times New Roman"/>
        </w:rPr>
        <w:t>Rashodi su povećani zbog većih troškova koji se odnose na naknade za rad predstavničkih i izvršnih tijela, povećani su troškovi reprezentacije zbog obilježavanja dana općine kao i zbog troškova koji se odnose na trail. 
Ostali nespomenuti rashodi poslovanja povećani su zbog troškova koji se odnose na tiskanje majica vezanih za održavanje traila. </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Rashodi se odnose na sufinanciranje lokalnih izbora kojih prethodne godine nije bilo. </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53.654,60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122,7</w:t>
            </w:r>
          </w:p>
        </w:tc>
      </w:tr>
    </w:tbl>
    <w:p>
      <w:pPr>
        <w:spacing w:before="0" w:after="0"/>
      </w:pPr>
    </w:p>
    <w:p>
      <w:pPr>
        <w:jc w:val="both"/>
        <w:pStyle w:val="Normal"/>
        <w:spacing w:line="240" w:lineRule="auto"/>
      </w:pPr>
      <w:r>
        <w:rPr>
          <w:sz w:val="24"/>
          <w:rFonts w:ascii="Times New Roman" w:hAnsi="Times New Roman"/>
        </w:rPr>
        <w:t>Rashodi su povećani jer su se povećali troškovi koji su vezani uz financiranje vrtića, tj. povećale su se plaće djelatnicima vrtića. 
Kapitalne pomoći proračunskim korisnicima drugog proračuna odnose se na pomoć DVD-u za kupnju vatrogasnog vozila.</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9.856,60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w:t>
            </w:r>
          </w:p>
        </w:tc>
      </w:tr>
    </w:tbl>
    <w:p>
      <w:pPr>
        <w:spacing w:before="0" w:after="0"/>
      </w:pPr>
    </w:p>
    <w:p>
      <w:pPr>
        <w:jc w:val="both"/>
        <w:pStyle w:val="Normal"/>
        <w:spacing w:line="240" w:lineRule="auto"/>
      </w:pPr>
      <w:r>
        <w:rPr>
          <w:sz w:val="24"/>
          <w:rFonts w:ascii="Times New Roman" w:hAnsi="Times New Roman"/>
        </w:rPr>
        <w:t>Rashodi su smanjeni jer su smanjeni i troškovi koji se odnose na naknade građanina i kućanstvima u novcu. Troškova jednokratnih novčanih pomoći kao i troškova za porodiljne naknade nije bilo u ovom razdoblju, pa su i rashodi smanjeni. </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16.773,65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w:t>
            </w:r>
          </w:p>
        </w:tc>
      </w:tr>
    </w:tbl>
    <w:p>
      <w:pPr>
        <w:spacing w:before="0" w:after="0"/>
      </w:pPr>
    </w:p>
    <w:p>
      <w:pPr>
        <w:jc w:val="both"/>
        <w:pStyle w:val="Normal"/>
        <w:spacing w:line="240" w:lineRule="auto"/>
      </w:pPr>
      <w:r>
        <w:rPr>
          <w:sz w:val="24"/>
          <w:rFonts w:ascii="Times New Roman" w:hAnsi="Times New Roman"/>
        </w:rPr>
        <w:t>Rashodi su povećani jer su povećane i donacije koje se odnose na financiranje HGSS-a, a najviše su troškovi povećani zbog financiranja plaće djelatnice koja radi u Turističkoj zajednici. </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(šifre 3821 do 3824)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25.218,75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w:t>
            </w:r>
          </w:p>
        </w:tc>
      </w:tr>
    </w:tbl>
    <w:p>
      <w:pPr>
        <w:spacing w:before="0" w:after="0"/>
      </w:pPr>
    </w:p>
    <w:p>
      <w:pPr>
        <w:jc w:val="both"/>
        <w:pStyle w:val="Normal"/>
        <w:spacing w:line="240" w:lineRule="auto"/>
      </w:pPr>
      <w:r>
        <w:rPr>
          <w:sz w:val="24"/>
          <w:rFonts w:ascii="Times New Roman" w:hAnsi="Times New Roman"/>
        </w:rPr>
        <w:t>Donacije su smanjene jer se je prethodne godine ulagalo u Crkvu. </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612.348,86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336.629,57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w:t>
            </w:r>
          </w:p>
        </w:tc>
      </w:tr>
    </w:tbl>
    <w:p>
      <w:pPr>
        <w:spacing w:before="0" w:after="0"/>
      </w:pPr>
    </w:p>
    <w:p>
      <w:pPr>
        <w:jc w:val="both"/>
        <w:pStyle w:val="Normal"/>
        <w:spacing w:line="240" w:lineRule="auto"/>
      </w:pPr>
      <w:r>
        <w:rPr>
          <w:sz w:val="24"/>
          <w:rFonts w:ascii="Times New Roman" w:hAnsi="Times New Roman"/>
        </w:rPr>
        <w:t>Prihod poslovanja je manji jer se je provela odluka o raspodjeli rezultata kako bi se pokrio manjak od nefinancijske imovine. </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60.121,04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220.696,82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367,1</w:t>
            </w:r>
          </w:p>
        </w:tc>
      </w:tr>
    </w:tbl>
    <w:p>
      <w:pPr>
        <w:spacing w:before="0" w:after="0"/>
      </w:pPr>
    </w:p>
    <w:p>
      <w:pPr>
        <w:jc w:val="both"/>
        <w:pStyle w:val="Normal"/>
        <w:spacing w:line="240" w:lineRule="auto"/>
      </w:pPr>
      <w:r>
        <w:rPr>
          <w:sz w:val="24"/>
          <w:rFonts w:ascii="Times New Roman" w:hAnsi="Times New Roman"/>
        </w:rPr>
        <w:t>Nenaplaćeni prihodi su povećani  zbog provedbe novih knjiženja i zaduženja računa 96 po nekom aktu ili rješenju. Očekuje se da će sredstva do kraja godine biti uplaćena. </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postrojenja i opreme (šifre 7221 do 7228)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Ove godine nema prihoda jer se nije prodavala imovina. </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87.862,88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w:t>
            </w:r>
          </w:p>
        </w:tc>
      </w:tr>
    </w:tbl>
    <w:p>
      <w:pPr>
        <w:spacing w:before="0" w:after="0"/>
      </w:pPr>
    </w:p>
    <w:p>
      <w:pPr>
        <w:jc w:val="both"/>
        <w:pStyle w:val="Normal"/>
        <w:spacing w:line="240" w:lineRule="auto"/>
      </w:pPr>
      <w:r>
        <w:rPr>
          <w:sz w:val="24"/>
          <w:rFonts w:ascii="Times New Roman" w:hAnsi="Times New Roman"/>
        </w:rPr>
        <w:t>Rashodi su dosta smanjeni jer se odnose samo na izradu idejnog rješenja za pješačku stazu, dok se je prethodne godine više ulagalo, najviše u ceste. </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38.472,13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542,5</w:t>
            </w:r>
          </w:p>
        </w:tc>
      </w:tr>
    </w:tbl>
    <w:p>
      <w:pPr>
        <w:spacing w:before="0" w:after="0"/>
      </w:pPr>
    </w:p>
    <w:p>
      <w:pPr>
        <w:jc w:val="both"/>
        <w:pStyle w:val="Normal"/>
        <w:spacing w:line="240" w:lineRule="auto"/>
      </w:pPr>
      <w:r>
        <w:rPr>
          <w:sz w:val="24"/>
          <w:rFonts w:ascii="Times New Roman" w:hAnsi="Times New Roman"/>
        </w:rPr>
        <w:t>Rashodi su povećani zbog nabave novih službenih mobitela i zbog ulaganja u izgradnju zidića i postavljanja ploča na dječjem igralištu. </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693,3</w:t>
            </w:r>
          </w:p>
        </w:tc>
      </w:tr>
    </w:tbl>
    <w:p>
      <w:pPr>
        <w:spacing w:before="0" w:after="0"/>
      </w:pPr>
    </w:p>
    <w:p>
      <w:pPr>
        <w:jc w:val="both"/>
        <w:pStyle w:val="Normal"/>
        <w:spacing w:line="240" w:lineRule="auto"/>
      </w:pPr>
      <w:r>
        <w:rPr>
          <w:sz w:val="24"/>
          <w:rFonts w:ascii="Times New Roman" w:hAnsi="Times New Roman"/>
        </w:rPr>
        <w:t>Rashodi su povećani jer se provode izmjene i dopune prostornog plana Općine. </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promet nekretnina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w:t>
            </w:r>
          </w:p>
        </w:tc>
      </w:tr>
    </w:tbl>
    <w:p>
      <w:pPr>
        <w:spacing w:before="0" w:after="0"/>
      </w:pPr>
    </w:p>
    <w:p>
      <w:pPr>
        <w:jc w:val="both"/>
        <w:pStyle w:val="Normal"/>
        <w:spacing w:line="240" w:lineRule="auto"/>
      </w:pPr>
      <w:r>
        <w:rPr>
          <w:sz w:val="24"/>
          <w:rFonts w:ascii="Times New Roman" w:hAnsi="Times New Roman"/>
        </w:rPr>
        <w:t>Povećani su prihodi zbog većih uplata poreza na promet nekretnina.</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69.054,12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w:t>
            </w:r>
          </w:p>
        </w:tc>
      </w:tr>
    </w:tbl>
    <w:p>
      <w:pPr>
        <w:spacing w:before="0" w:after="0"/>
      </w:pPr>
    </w:p>
    <w:p>
      <w:pPr>
        <w:jc w:val="both"/>
        <w:pStyle w:val="Normal"/>
        <w:spacing w:line="240" w:lineRule="auto"/>
      </w:pPr>
      <w:r>
        <w:rPr>
          <w:sz w:val="24"/>
          <w:rFonts w:ascii="Times New Roman" w:hAnsi="Times New Roman"/>
        </w:rPr>
        <w:t>Prihodi su manji od prošle godine, jer se pomoći za fiskalno izravnanje ne vode više na kontu 6331. </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županijskih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se odnose na sufinanciranje manifestacije koja se odnosi na trail. </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HZMO-a, HZZ-a i HZZO-a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se odnose na financiranje plaća javnih radova.</w:t>
      </w:r>
    </w:p>
    <w:p/>
    <w:p>
      <w:pPr>
        <w:jc w:val="center"/>
        <w:pStyle w:val="Normal"/>
        <w:spacing w:line="240" w:lineRule="auto"/>
        <w:keepNext/>
      </w:pPr>
      <w:r>
        <w:rPr>
          <w:sz w:val="28"/>
          <w:rFonts w:ascii="Times New Roman" w:hAnsi="Times New Roman"/>
        </w:rPr>
        <w:t>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Turistička pristojba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340,1</w:t>
            </w:r>
          </w:p>
        </w:tc>
      </w:tr>
    </w:tbl>
    <w:p>
      <w:pPr>
        <w:spacing w:before="0" w:after="0"/>
      </w:pPr>
    </w:p>
    <w:p>
      <w:pPr>
        <w:jc w:val="both"/>
        <w:pStyle w:val="Normal"/>
        <w:spacing w:line="240" w:lineRule="auto"/>
      </w:pPr>
      <w:r>
        <w:rPr>
          <w:sz w:val="24"/>
          <w:rFonts w:ascii="Times New Roman" w:hAnsi="Times New Roman"/>
        </w:rPr>
        <w:t>Zbog većih uplata dolazi i do porasta prihoda. </w:t>
      </w:r>
    </w:p>
    <w:p/>
    <w:p>
      <w:pPr>
        <w:jc w:val="center"/>
        <w:pStyle w:val="Normal"/>
        <w:spacing w:line="240" w:lineRule="auto"/>
        <w:keepNext/>
      </w:pPr>
      <w:r>
        <w:rPr>
          <w:sz w:val="28"/>
          <w:rFonts w:ascii="Times New Roman" w:hAnsi="Times New Roman"/>
        </w:rPr>
        <w:t>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Autorski honorari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w:t>
            </w:r>
          </w:p>
        </w:tc>
      </w:tr>
    </w:tbl>
    <w:p>
      <w:pPr>
        <w:spacing w:before="0" w:after="0"/>
      </w:pPr>
    </w:p>
    <w:p>
      <w:pPr>
        <w:jc w:val="both"/>
        <w:pStyle w:val="Normal"/>
        <w:spacing w:line="240" w:lineRule="auto"/>
      </w:pPr>
      <w:r>
        <w:rPr>
          <w:sz w:val="24"/>
          <w:rFonts w:ascii="Times New Roman" w:hAnsi="Times New Roman"/>
        </w:rPr>
        <w:t>Rashodi su smanjeni jer su troškovi autorskog ugovora manji u odnosu na prošlu godinu. </w:t>
      </w:r>
    </w:p>
    <w:p/>
    <w:p>
      <w:pPr>
        <w:jc w:val="center"/>
        <w:pStyle w:val="Normal"/>
        <w:spacing w:line="240" w:lineRule="auto"/>
        <w:keepNext/>
      </w:pPr>
      <w:r>
        <w:rPr>
          <w:sz w:val="28"/>
          <w:rFonts w:ascii="Times New Roman" w:hAnsi="Times New Roman"/>
        </w:rPr>
        <w:t>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članovima predstavničkih i izvršnih tijela i upravnih vijeća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159,3</w:t>
            </w:r>
          </w:p>
        </w:tc>
      </w:tr>
    </w:tbl>
    <w:p>
      <w:pPr>
        <w:spacing w:before="0" w:after="0"/>
      </w:pPr>
    </w:p>
    <w:p>
      <w:pPr>
        <w:jc w:val="both"/>
        <w:pStyle w:val="Normal"/>
        <w:spacing w:line="240" w:lineRule="auto"/>
      </w:pPr>
      <w:r>
        <w:rPr>
          <w:sz w:val="24"/>
          <w:rFonts w:ascii="Times New Roman" w:hAnsi="Times New Roman"/>
        </w:rPr>
        <w:t>Rashodi su povećani zbog povećanja plaća dužnosnika i zbog lokalnih izbora i isplata koje se odnose na povjerenstva, biračke odbore i stručni tim. </w:t>
      </w:r>
    </w:p>
    <w:p/>
    <w:p>
      <w:pPr>
        <w:jc w:val="center"/>
        <w:pStyle w:val="Normal"/>
        <w:spacing w:line="240" w:lineRule="auto"/>
        <w:keepNext/>
      </w:pPr>
      <w:r>
        <w:rPr>
          <w:sz w:val="28"/>
          <w:rFonts w:ascii="Times New Roman" w:hAnsi="Times New Roman"/>
        </w:rPr>
        <w:t>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županijskim proračunima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Odnose se na rashode vezane za sufinanciranje lokalnih izbora, odnosno na izborni materijal. </w:t>
      </w:r>
    </w:p>
    <w:p/>
    <w:p>
      <w:pPr>
        <w:jc w:val="center"/>
        <w:pStyle w:val="Normal"/>
        <w:spacing w:line="240" w:lineRule="auto"/>
        <w:keepNext/>
      </w:pPr>
      <w:r>
        <w:rPr>
          <w:sz w:val="28"/>
          <w:rFonts w:ascii="Times New Roman" w:hAnsi="Times New Roman"/>
        </w:rPr>
        <w:t>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 obiteljima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bl>
    <w:p>
      <w:pPr>
        <w:spacing w:before="0" w:after="0"/>
      </w:pPr>
    </w:p>
    <w:p>
      <w:pPr>
        <w:jc w:val="both"/>
        <w:pStyle w:val="Normal"/>
        <w:spacing w:line="240" w:lineRule="auto"/>
      </w:pPr>
      <w:r>
        <w:rPr>
          <w:sz w:val="24"/>
          <w:rFonts w:ascii="Times New Roman" w:hAnsi="Times New Roman"/>
        </w:rPr>
        <w:t>Rashodi su povećani jer su nastali veći troškovi koje se odnose na financiranje škole u prirodi i pomoć obitelji oko izgradnje potkrovlja. </w:t>
      </w:r>
    </w:p>
    <w:p/>
    <w:p>
      <w:pPr>
        <w:jc w:val="center"/>
        <w:pStyle w:val="Normal"/>
        <w:spacing w:line="240" w:lineRule="auto"/>
        <w:keepNext/>
      </w:pPr>
      <w:r>
        <w:rPr>
          <w:sz w:val="28"/>
          <w:rFonts w:ascii="Times New Roman" w:hAnsi="Times New Roman"/>
        </w:rPr>
        <w:t>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Stipendije i školarine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w:t>
            </w:r>
          </w:p>
        </w:tc>
      </w:tr>
    </w:tbl>
    <w:p>
      <w:pPr>
        <w:spacing w:before="0" w:after="0"/>
      </w:pPr>
    </w:p>
    <w:p>
      <w:pPr>
        <w:jc w:val="both"/>
        <w:pStyle w:val="Normal"/>
        <w:spacing w:line="240" w:lineRule="auto"/>
      </w:pPr>
      <w:r>
        <w:rPr>
          <w:sz w:val="24"/>
          <w:rFonts w:ascii="Times New Roman" w:hAnsi="Times New Roman"/>
        </w:rPr>
        <w:t>Stipendije su smanjene jer je i manji broj stipendista.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Odnosi se na prekoračenje plaćanja obveza od 1 do 60 dana. 
Račun je primljen nakon dospijeća, te je po primitku i plaćen u iznosu od 450,00 eura. 
Drugi račun je plaćen nakon odobrenja, 15 dana nakon roka dospijeća. 
</w:t>
      </w:r>
    </w:p>
    <w:p/>
    <w:p>
      <w:pPr>
        <w:jc w:val="center"/>
        <w:pStyle w:val="Normal"/>
        <w:spacing w:line="240" w:lineRule="auto"/>
        <w:keepNext/>
      </w:pPr>
      <w:r>
        <w:rPr>
          <w:sz w:val="28"/>
          <w:rFonts w:ascii="Times New Roman" w:hAnsi="Times New Roman"/>
        </w:rPr>
        <w:t>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40.599,74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Nedospjele obveze imaju rok dospijeća u sedmom mjesecu te će se iste i podmiriti.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41868a6fa584ec2" /></Relationships>
</file>