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6650" w14:textId="387C4BD6" w:rsidR="00BF55A7" w:rsidRPr="00BA3019" w:rsidRDefault="007359B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9245D">
        <w:rPr>
          <w:i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1376202B" wp14:editId="0A67A629">
            <wp:simplePos x="0" y="0"/>
            <wp:positionH relativeFrom="column">
              <wp:posOffset>5979</wp:posOffset>
            </wp:positionH>
            <wp:positionV relativeFrom="paragraph">
              <wp:posOffset>57584</wp:posOffset>
            </wp:positionV>
            <wp:extent cx="1414732" cy="1717253"/>
            <wp:effectExtent l="57150" t="57150" r="52705" b="54610"/>
            <wp:wrapTight wrapText="bothSides">
              <wp:wrapPolygon edited="0">
                <wp:start x="-873" y="-719"/>
                <wp:lineTo x="-873" y="22047"/>
                <wp:lineTo x="22114" y="22047"/>
                <wp:lineTo x="22114" y="-719"/>
                <wp:lineTo x="-873" y="-71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61" cy="175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D3658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86BF710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7D61D7A" w14:textId="77777777" w:rsidR="007359B7" w:rsidRDefault="007359B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50116E" w14:textId="77777777" w:rsidR="007359B7" w:rsidRDefault="007359B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B3F956C" w14:textId="7C35AD8E" w:rsidR="00F047B9" w:rsidRPr="00BA3019" w:rsidRDefault="00371772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POLU</w:t>
      </w:r>
      <w:r w:rsidR="00BF55A7" w:rsidRPr="00BA3019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GODIŠNJI IZVJEŠTAJ O IZVRŠENJU PRORAČUNA ZA 202</w:t>
      </w:r>
      <w:r w:rsidR="00647E01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="00BF55A7" w:rsidRPr="00BA3019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 GODINU</w:t>
      </w:r>
    </w:p>
    <w:p w14:paraId="279FEA02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243325A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0A7CDB4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A3019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VODIČ ZA GRAĐANE</w:t>
      </w:r>
    </w:p>
    <w:p w14:paraId="7CD28FC3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5448DBF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5ABAE59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03FA662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454F7B6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1C8929" w14:textId="194C61A2" w:rsidR="00BF55A7" w:rsidRPr="00BA3019" w:rsidRDefault="00BF55A7" w:rsidP="007359B7">
      <w:pPr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FE2A0B0" w14:textId="38D548DD" w:rsidR="00275A0E" w:rsidRPr="00275A0E" w:rsidRDefault="00371772" w:rsidP="00275A0E">
      <w:pPr>
        <w:jc w:val="center"/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Rujan</w:t>
      </w:r>
      <w:r w:rsidR="00BF55A7" w:rsidRPr="00BA3019"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202</w:t>
      </w:r>
      <w:r w:rsidR="00647E01"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="00BF55A7" w:rsidRPr="00BA3019"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godina </w:t>
      </w:r>
    </w:p>
    <w:p w14:paraId="07A02A0C" w14:textId="77777777" w:rsidR="00275A0E" w:rsidRDefault="00275A0E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Poštovani, </w:t>
      </w:r>
    </w:p>
    <w:p w14:paraId="26A3D0B6" w14:textId="77777777" w:rsidR="00275A0E" w:rsidRDefault="00275A0E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</w:p>
    <w:p w14:paraId="411047E2" w14:textId="17CB447C" w:rsidR="00275A0E" w:rsidRDefault="00275A0E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Pred Vama se nalazi Vodič za građane izrađen za polugodišnje izvršenje proračuna u 202</w:t>
      </w:r>
      <w:r w:rsidR="00647E01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 godini. </w:t>
      </w:r>
    </w:p>
    <w:p w14:paraId="1155DD93" w14:textId="241B2968" w:rsidR="00F11BAC" w:rsidRPr="00BA3019" w:rsidRDefault="00275A0E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Svrha</w:t>
      </w:r>
      <w:r w:rsidR="00F11BAC" w:rsidRPr="00BA3019">
        <w:rPr>
          <w:rFonts w:eastAsiaTheme="minorHAnsi"/>
          <w:lang w:eastAsia="en-US"/>
        </w:rPr>
        <w:t xml:space="preserve"> ovog Vodiča je povećanje transparentnosti rada Općine i informiranosti naših građana o načinu raspolaganja javnim sredstvima kao i povećanje interesa javnosti za općinske aktivnosti i projekte te, u konačnici, i njenoj većoj uključenosti u proračunske procese Općine.</w:t>
      </w:r>
    </w:p>
    <w:p w14:paraId="2EFF7BDA" w14:textId="4AC74C90" w:rsidR="00F11BAC" w:rsidRPr="00BA3019" w:rsidRDefault="00275A0E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Polug</w:t>
      </w:r>
      <w:r w:rsidR="00F11BAC" w:rsidRPr="00BA3019">
        <w:rPr>
          <w:rFonts w:eastAsiaTheme="minorHAnsi"/>
          <w:lang w:eastAsia="en-US"/>
        </w:rPr>
        <w:t>odišnji izvještaj o izvršenju proračuna prikazuje podatke o izvršenju prihoda/primitaka i rashoda/izdataka</w:t>
      </w:r>
      <w:r w:rsidR="00BA3019" w:rsidRPr="00BA3019">
        <w:rPr>
          <w:rFonts w:eastAsiaTheme="minorHAnsi"/>
          <w:lang w:eastAsia="en-US"/>
        </w:rPr>
        <w:t xml:space="preserve"> te financijski položaj</w:t>
      </w:r>
      <w:r>
        <w:rPr>
          <w:rFonts w:eastAsiaTheme="minorHAnsi"/>
          <w:lang w:eastAsia="en-US"/>
        </w:rPr>
        <w:t xml:space="preserve"> do 30. lipnja tekuće godine</w:t>
      </w:r>
      <w:r w:rsidR="00BA3019" w:rsidRPr="00BA3019">
        <w:rPr>
          <w:rFonts w:eastAsiaTheme="minorHAnsi"/>
          <w:lang w:eastAsia="en-US"/>
        </w:rPr>
        <w:t xml:space="preserve">. </w:t>
      </w:r>
    </w:p>
    <w:p w14:paraId="2C9E9F64" w14:textId="5CC3C7D4" w:rsidR="00BF55A7" w:rsidRDefault="00BA3019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BA3019">
        <w:rPr>
          <w:rFonts w:eastAsiaTheme="minorHAnsi"/>
          <w:lang w:eastAsia="en-US"/>
        </w:rPr>
        <w:t xml:space="preserve">U </w:t>
      </w:r>
      <w:r w:rsidR="00275A0E">
        <w:rPr>
          <w:rFonts w:eastAsiaTheme="minorHAnsi"/>
          <w:lang w:eastAsia="en-US"/>
        </w:rPr>
        <w:t xml:space="preserve">polugodišnjem razdoblju u </w:t>
      </w:r>
      <w:r w:rsidRPr="00BA3019">
        <w:rPr>
          <w:rFonts w:eastAsiaTheme="minorHAnsi"/>
          <w:lang w:eastAsia="en-US"/>
        </w:rPr>
        <w:t>202</w:t>
      </w:r>
      <w:r w:rsidR="00647E01">
        <w:rPr>
          <w:rFonts w:eastAsiaTheme="minorHAnsi"/>
          <w:lang w:eastAsia="en-US"/>
        </w:rPr>
        <w:t>5</w:t>
      </w:r>
      <w:r w:rsidRPr="00BA3019">
        <w:rPr>
          <w:rFonts w:eastAsiaTheme="minorHAnsi"/>
          <w:lang w:eastAsia="en-US"/>
        </w:rPr>
        <w:t xml:space="preserve">. godini, Općina </w:t>
      </w:r>
      <w:r>
        <w:rPr>
          <w:rFonts w:eastAsiaTheme="minorHAnsi"/>
          <w:lang w:eastAsia="en-US"/>
        </w:rPr>
        <w:t xml:space="preserve">Saborsko </w:t>
      </w:r>
      <w:r w:rsidR="00275A0E">
        <w:rPr>
          <w:rFonts w:eastAsiaTheme="minorHAnsi"/>
          <w:lang w:eastAsia="en-US"/>
        </w:rPr>
        <w:t xml:space="preserve">je </w:t>
      </w:r>
      <w:r w:rsidR="00C302CB">
        <w:rPr>
          <w:rFonts w:eastAsiaTheme="minorHAnsi"/>
          <w:lang w:eastAsia="en-US"/>
        </w:rPr>
        <w:t>ostvarila manjak poslovanja u iznosu od 10.246,24 eura</w:t>
      </w:r>
      <w:r w:rsidR="00275A0E">
        <w:rPr>
          <w:rFonts w:eastAsiaTheme="minorHAnsi"/>
          <w:lang w:eastAsia="en-US"/>
        </w:rPr>
        <w:t xml:space="preserve">. </w:t>
      </w:r>
    </w:p>
    <w:p w14:paraId="0041E8A7" w14:textId="66FABD6A" w:rsidR="00BA3019" w:rsidRDefault="00140998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Kroz ovaj vodič, upoznati ćemo vas sa općim i posebnim dijelom </w:t>
      </w:r>
      <w:r w:rsidR="00C302CB">
        <w:rPr>
          <w:rFonts w:eastAsiaTheme="minorHAnsi"/>
          <w:lang w:eastAsia="en-US"/>
        </w:rPr>
        <w:t>polu</w:t>
      </w:r>
      <w:r>
        <w:rPr>
          <w:rFonts w:eastAsiaTheme="minorHAnsi"/>
          <w:lang w:eastAsia="en-US"/>
        </w:rPr>
        <w:t xml:space="preserve">godišnjeg izvještaja o izvršenju proračuna. </w:t>
      </w:r>
    </w:p>
    <w:p w14:paraId="2F552240" w14:textId="22C16657" w:rsidR="00140998" w:rsidRDefault="00140998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Opći dio sastoji se od: </w:t>
      </w:r>
    </w:p>
    <w:p w14:paraId="63A61496" w14:textId="23E3B2F5" w:rsidR="007359B7" w:rsidRPr="007359B7" w:rsidRDefault="00140998" w:rsidP="007359B7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Računa prihoda i rashoda te računa</w:t>
      </w:r>
      <w:r w:rsidRPr="00140998">
        <w:rPr>
          <w:rFonts w:eastAsiaTheme="minorHAnsi"/>
          <w:lang w:eastAsia="en-US"/>
        </w:rPr>
        <w:t xml:space="preserve"> financiranja </w:t>
      </w:r>
    </w:p>
    <w:p w14:paraId="5AF85631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3008CCB" w14:textId="358CA34E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Račun prihoda i rashoda iskazuje se prema ekonomskoj klasifikaciji, izvorima financiranja i funkcijskoj klasifikaciji. </w:t>
      </w:r>
    </w:p>
    <w:p w14:paraId="14032F9C" w14:textId="33163CE0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Račun financiranja iskazuje se prema ekonomskoj klasifikaciji i izvorima financiranja. </w:t>
      </w:r>
    </w:p>
    <w:p w14:paraId="264510CE" w14:textId="77777777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</w:p>
    <w:p w14:paraId="6E8ABBBA" w14:textId="7977A084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Posebni dio sastoji se od:</w:t>
      </w:r>
    </w:p>
    <w:p w14:paraId="62F4A112" w14:textId="3AF34C45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Izvršenja po organizacijskoj klasifikaciji </w:t>
      </w:r>
    </w:p>
    <w:p w14:paraId="7E5203CC" w14:textId="3B0517F2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Izvršenja po programskoj klasifikaciji </w:t>
      </w:r>
    </w:p>
    <w:p w14:paraId="6F880EDE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2986F89A" w14:textId="77777777" w:rsidR="00275A0E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Osim toga, u </w:t>
      </w:r>
      <w:r w:rsidR="00275A0E">
        <w:rPr>
          <w:rFonts w:eastAsiaTheme="minorHAnsi"/>
          <w:lang w:eastAsia="en-US"/>
        </w:rPr>
        <w:t>polu</w:t>
      </w:r>
      <w:r>
        <w:rPr>
          <w:rFonts w:eastAsiaTheme="minorHAnsi"/>
          <w:lang w:eastAsia="en-US"/>
        </w:rPr>
        <w:t>godišnjem izvještaju o izvršenju proračuna, sastavlja se izvještaj o zaduživanju na domaćem i stranom tržištu, izvještaj o korištenju proračunske zalihe, izvještaj o danim jamstvima i izdacima po jamstvima</w:t>
      </w:r>
      <w:r w:rsidR="00275A0E">
        <w:rPr>
          <w:rFonts w:eastAsiaTheme="minorHAnsi"/>
          <w:lang w:eastAsia="en-US"/>
        </w:rPr>
        <w:t xml:space="preserve">. </w:t>
      </w:r>
    </w:p>
    <w:p w14:paraId="4B0A1F4F" w14:textId="5FDFD8A4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40D6AB9C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4E806CFD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0EF75994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65CCDDA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135D1BFE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1EF3FAA0" w14:textId="43D11A1F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47E3F3CC" w14:textId="77777777" w:rsidR="00275A0E" w:rsidRDefault="00275A0E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0ACD5EB" w14:textId="5409AD8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Opći dio </w:t>
      </w:r>
    </w:p>
    <w:p w14:paraId="16737B20" w14:textId="77777777" w:rsidR="00140998" w:rsidRPr="00DA4771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7507EEA" w14:textId="473D3B6C" w:rsidR="00DA4771" w:rsidRDefault="00DA4771" w:rsidP="00DA4771">
      <w:pPr>
        <w:jc w:val="both"/>
        <w:rPr>
          <w:rFonts w:ascii="Times New Roman" w:hAnsi="Times New Roman"/>
          <w:sz w:val="24"/>
          <w:szCs w:val="24"/>
        </w:rPr>
      </w:pPr>
      <w:r w:rsidRPr="00DA4771">
        <w:rPr>
          <w:rFonts w:ascii="Times New Roman" w:hAnsi="Times New Roman"/>
          <w:sz w:val="24"/>
          <w:szCs w:val="24"/>
        </w:rPr>
        <w:t>Ukupni pri</w:t>
      </w:r>
      <w:r w:rsidR="00275A0E">
        <w:rPr>
          <w:rFonts w:ascii="Times New Roman" w:hAnsi="Times New Roman"/>
          <w:sz w:val="24"/>
          <w:szCs w:val="24"/>
        </w:rPr>
        <w:t xml:space="preserve">hodi </w:t>
      </w:r>
      <w:r w:rsidR="00AB1258">
        <w:rPr>
          <w:rFonts w:ascii="Times New Roman" w:hAnsi="Times New Roman"/>
          <w:sz w:val="24"/>
          <w:szCs w:val="24"/>
        </w:rPr>
        <w:t>poslovanja</w:t>
      </w:r>
      <w:r w:rsidR="00275A0E">
        <w:rPr>
          <w:rFonts w:ascii="Times New Roman" w:hAnsi="Times New Roman"/>
          <w:sz w:val="24"/>
          <w:szCs w:val="24"/>
        </w:rPr>
        <w:t xml:space="preserve"> proračuna za polugodišnje razdoblje</w:t>
      </w:r>
      <w:r w:rsidRPr="00DA4771">
        <w:rPr>
          <w:rFonts w:ascii="Times New Roman" w:hAnsi="Times New Roman"/>
          <w:sz w:val="24"/>
          <w:szCs w:val="24"/>
        </w:rPr>
        <w:t xml:space="preserve"> iznose </w:t>
      </w:r>
      <w:r w:rsidR="00AB1258">
        <w:rPr>
          <w:rFonts w:ascii="Times New Roman" w:hAnsi="Times New Roman"/>
          <w:b/>
          <w:szCs w:val="24"/>
        </w:rPr>
        <w:t>3</w:t>
      </w:r>
      <w:r w:rsidR="004E4D90">
        <w:rPr>
          <w:rFonts w:ascii="Times New Roman" w:hAnsi="Times New Roman"/>
          <w:b/>
          <w:szCs w:val="24"/>
        </w:rPr>
        <w:t>43.175,32</w:t>
      </w:r>
      <w:r w:rsidR="005803F2">
        <w:rPr>
          <w:rFonts w:ascii="Times New Roman" w:hAnsi="Times New Roman"/>
          <w:b/>
          <w:szCs w:val="24"/>
        </w:rPr>
        <w:t xml:space="preserve"> </w:t>
      </w:r>
      <w:r w:rsidR="004E4D90">
        <w:rPr>
          <w:rFonts w:ascii="Times New Roman" w:hAnsi="Times New Roman"/>
          <w:b/>
          <w:szCs w:val="24"/>
        </w:rPr>
        <w:t>e</w:t>
      </w:r>
      <w:r w:rsidR="005803F2">
        <w:rPr>
          <w:rFonts w:ascii="Times New Roman" w:hAnsi="Times New Roman"/>
          <w:b/>
          <w:szCs w:val="24"/>
        </w:rPr>
        <w:t>ura</w:t>
      </w:r>
      <w:r w:rsidRPr="00DA4771">
        <w:rPr>
          <w:rFonts w:ascii="Times New Roman" w:hAnsi="Times New Roman"/>
          <w:sz w:val="24"/>
          <w:szCs w:val="24"/>
        </w:rPr>
        <w:t xml:space="preserve">. </w:t>
      </w:r>
    </w:p>
    <w:p w14:paraId="7ABCD3A9" w14:textId="555E0E7B" w:rsidR="00DA4771" w:rsidRPr="00DA4771" w:rsidRDefault="00DA4771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poslovanja ostvareni su od prihoda od poreza, pomoći iz inozemstva i od subjekata unutar općeg proračuna, </w:t>
      </w:r>
      <w:r w:rsidRPr="00DA4771">
        <w:rPr>
          <w:rFonts w:ascii="Times New Roman" w:hAnsi="Times New Roman"/>
          <w:sz w:val="24"/>
          <w:szCs w:val="24"/>
        </w:rPr>
        <w:t>prihoda od imovine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4771">
        <w:rPr>
          <w:rFonts w:ascii="Times New Roman" w:hAnsi="Times New Roman"/>
          <w:sz w:val="24"/>
          <w:szCs w:val="24"/>
        </w:rPr>
        <w:t>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administrativnih i upravnih pristojbi, pristojbi po posebnim propisima i naknada, 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prodaje proizvoda i robe te pruženih usluga i prihod</w:t>
      </w:r>
      <w:r>
        <w:rPr>
          <w:rFonts w:ascii="Times New Roman" w:hAnsi="Times New Roman"/>
          <w:sz w:val="24"/>
          <w:szCs w:val="24"/>
        </w:rPr>
        <w:t>a</w:t>
      </w:r>
      <w:r w:rsidR="00AB1258">
        <w:rPr>
          <w:rFonts w:ascii="Times New Roman" w:hAnsi="Times New Roman"/>
          <w:sz w:val="24"/>
          <w:szCs w:val="24"/>
        </w:rPr>
        <w:t xml:space="preserve"> od donacija,</w:t>
      </w:r>
      <w:r w:rsidRPr="00DA4771">
        <w:rPr>
          <w:rFonts w:ascii="Times New Roman" w:hAnsi="Times New Roman"/>
          <w:sz w:val="24"/>
          <w:szCs w:val="24"/>
        </w:rPr>
        <w:t xml:space="preserve"> kazn</w:t>
      </w:r>
      <w:r>
        <w:rPr>
          <w:rFonts w:ascii="Times New Roman" w:hAnsi="Times New Roman"/>
          <w:sz w:val="24"/>
          <w:szCs w:val="24"/>
        </w:rPr>
        <w:t>i</w:t>
      </w:r>
      <w:r w:rsidRPr="00DA4771">
        <w:rPr>
          <w:rFonts w:ascii="Times New Roman" w:hAnsi="Times New Roman"/>
          <w:sz w:val="24"/>
          <w:szCs w:val="24"/>
        </w:rPr>
        <w:t>, upravn</w:t>
      </w:r>
      <w:r>
        <w:rPr>
          <w:rFonts w:ascii="Times New Roman" w:hAnsi="Times New Roman"/>
          <w:sz w:val="24"/>
          <w:szCs w:val="24"/>
        </w:rPr>
        <w:t>ih</w:t>
      </w:r>
      <w:r w:rsidRPr="00DA4771">
        <w:rPr>
          <w:rFonts w:ascii="Times New Roman" w:hAnsi="Times New Roman"/>
          <w:sz w:val="24"/>
          <w:szCs w:val="24"/>
        </w:rPr>
        <w:t xml:space="preserve"> mjer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i ostal</w:t>
      </w:r>
      <w:r>
        <w:rPr>
          <w:rFonts w:ascii="Times New Roman" w:hAnsi="Times New Roman"/>
          <w:sz w:val="24"/>
          <w:szCs w:val="24"/>
        </w:rPr>
        <w:t>ih</w:t>
      </w:r>
      <w:r w:rsidRPr="00DA4771">
        <w:rPr>
          <w:rFonts w:ascii="Times New Roman" w:hAnsi="Times New Roman"/>
          <w:sz w:val="24"/>
          <w:szCs w:val="24"/>
        </w:rPr>
        <w:t xml:space="preserve"> prihod</w:t>
      </w:r>
      <w:r>
        <w:rPr>
          <w:rFonts w:ascii="Times New Roman" w:hAnsi="Times New Roman"/>
          <w:sz w:val="24"/>
          <w:szCs w:val="24"/>
        </w:rPr>
        <w:t>a</w:t>
      </w:r>
      <w:r w:rsidR="00AB1258">
        <w:rPr>
          <w:rFonts w:ascii="Times New Roman" w:hAnsi="Times New Roman"/>
          <w:sz w:val="24"/>
          <w:szCs w:val="24"/>
        </w:rPr>
        <w:t xml:space="preserve">. </w:t>
      </w:r>
    </w:p>
    <w:p w14:paraId="32B6EE83" w14:textId="3910E2B2" w:rsidR="00DA4771" w:rsidRDefault="00DA4771" w:rsidP="00DA4771">
      <w:pPr>
        <w:jc w:val="both"/>
        <w:rPr>
          <w:rFonts w:ascii="Times New Roman" w:hAnsi="Times New Roman"/>
          <w:sz w:val="24"/>
          <w:szCs w:val="24"/>
        </w:rPr>
      </w:pPr>
    </w:p>
    <w:p w14:paraId="5801C6E5" w14:textId="3A42E0A0" w:rsidR="00DA4771" w:rsidRPr="005803F2" w:rsidRDefault="00DA4771" w:rsidP="00DA4771">
      <w:pPr>
        <w:spacing w:line="360" w:lineRule="auto"/>
        <w:jc w:val="both"/>
        <w:rPr>
          <w:rFonts w:ascii="Times New Roman" w:hAnsi="Times New Roman"/>
          <w:b/>
        </w:rPr>
      </w:pPr>
      <w:r w:rsidRPr="005803F2">
        <w:rPr>
          <w:rFonts w:ascii="Times New Roman" w:hAnsi="Times New Roman"/>
          <w:b/>
        </w:rPr>
        <w:t>Rashodi poslovanja</w:t>
      </w:r>
      <w:r w:rsidRPr="005803F2">
        <w:rPr>
          <w:rFonts w:ascii="Times New Roman" w:hAnsi="Times New Roman"/>
        </w:rPr>
        <w:t xml:space="preserve"> ostvareni su u iznosu od </w:t>
      </w:r>
      <w:r w:rsidR="004E4D90">
        <w:rPr>
          <w:rFonts w:ascii="Times New Roman" w:hAnsi="Times New Roman"/>
          <w:b/>
        </w:rPr>
        <w:t>298.824,43</w:t>
      </w:r>
      <w:r w:rsidR="004E4D90">
        <w:rPr>
          <w:rFonts w:ascii="Times New Roman" w:hAnsi="Times New Roman"/>
          <w:b/>
          <w:bCs/>
        </w:rPr>
        <w:t xml:space="preserve"> e</w:t>
      </w:r>
      <w:r w:rsidR="005803F2">
        <w:rPr>
          <w:rFonts w:ascii="Times New Roman" w:hAnsi="Times New Roman"/>
          <w:b/>
          <w:bCs/>
        </w:rPr>
        <w:t>ura</w:t>
      </w:r>
      <w:r w:rsidR="004E4D90">
        <w:rPr>
          <w:rFonts w:ascii="Times New Roman" w:hAnsi="Times New Roman"/>
        </w:rPr>
        <w:t>,</w:t>
      </w:r>
      <w:r w:rsidRPr="005803F2">
        <w:rPr>
          <w:rFonts w:ascii="Times New Roman" w:hAnsi="Times New Roman"/>
        </w:rPr>
        <w:t xml:space="preserve"> rashodi koji se odnose na nabavu dugotrajne nefinancijske imovine, ostvareni su u iznosu od </w:t>
      </w:r>
      <w:r w:rsidR="004E4D90">
        <w:rPr>
          <w:rFonts w:ascii="Times New Roman" w:hAnsi="Times New Roman"/>
          <w:b/>
        </w:rPr>
        <w:t>54.597,13</w:t>
      </w:r>
      <w:r w:rsidR="004B1911">
        <w:rPr>
          <w:rFonts w:ascii="Times New Roman" w:hAnsi="Times New Roman"/>
          <w:b/>
        </w:rPr>
        <w:t xml:space="preserve"> </w:t>
      </w:r>
      <w:r w:rsidR="004E4D90">
        <w:rPr>
          <w:rFonts w:ascii="Times New Roman" w:hAnsi="Times New Roman"/>
          <w:b/>
        </w:rPr>
        <w:t>e</w:t>
      </w:r>
      <w:r w:rsidR="004B1911">
        <w:rPr>
          <w:rFonts w:ascii="Times New Roman" w:hAnsi="Times New Roman"/>
          <w:b/>
        </w:rPr>
        <w:t>ura</w:t>
      </w:r>
      <w:r w:rsidR="005803F2">
        <w:rPr>
          <w:rFonts w:ascii="Times New Roman" w:hAnsi="Times New Roman"/>
          <w:b/>
        </w:rPr>
        <w:t>,</w:t>
      </w:r>
      <w:r w:rsidRPr="005803F2">
        <w:rPr>
          <w:rFonts w:ascii="Times New Roman" w:hAnsi="Times New Roman"/>
        </w:rPr>
        <w:t xml:space="preserve"> </w:t>
      </w:r>
      <w:r w:rsidR="005803F2" w:rsidRPr="005803F2">
        <w:rPr>
          <w:rFonts w:ascii="Times New Roman" w:hAnsi="Times New Roman"/>
        </w:rPr>
        <w:t xml:space="preserve">što znači da je ukupno na rashode utrošeno </w:t>
      </w:r>
      <w:r w:rsidR="004E4D90">
        <w:rPr>
          <w:rFonts w:ascii="Times New Roman" w:hAnsi="Times New Roman"/>
          <w:b/>
        </w:rPr>
        <w:t>353.421,56 e</w:t>
      </w:r>
      <w:r w:rsidR="004B1911">
        <w:rPr>
          <w:rFonts w:ascii="Times New Roman" w:hAnsi="Times New Roman"/>
          <w:b/>
        </w:rPr>
        <w:t xml:space="preserve">ura. </w:t>
      </w:r>
    </w:p>
    <w:p w14:paraId="401B4268" w14:textId="6597DA55" w:rsidR="00075D25" w:rsidRDefault="00075D2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nastavku je prikazan graf prihoda i rashoda Općine Saborsko. </w:t>
      </w:r>
    </w:p>
    <w:p w14:paraId="27095515" w14:textId="0E27B87E" w:rsidR="00075D25" w:rsidRDefault="0006450A" w:rsidP="000645DA">
      <w:pPr>
        <w:spacing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4DD793D" wp14:editId="728980D9">
            <wp:extent cx="5650302" cy="2743200"/>
            <wp:effectExtent l="0" t="0" r="762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FD62F16" w14:textId="77777777" w:rsidR="00EC77D3" w:rsidRDefault="00EC77D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8EBFF29" w14:textId="38E97FA8" w:rsidR="00FE61D7" w:rsidRDefault="00486AD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poslovanja </w:t>
      </w:r>
      <w:r w:rsidR="00EC77D3">
        <w:rPr>
          <w:rFonts w:ascii="Times New Roman" w:hAnsi="Times New Roman"/>
          <w:sz w:val="24"/>
          <w:szCs w:val="24"/>
        </w:rPr>
        <w:t xml:space="preserve">ostvareni su u manjem iznosu od rashoda poslovanja za </w:t>
      </w:r>
      <w:r w:rsidR="0006450A">
        <w:rPr>
          <w:rFonts w:ascii="Times New Roman" w:hAnsi="Times New Roman"/>
          <w:sz w:val="24"/>
          <w:szCs w:val="24"/>
        </w:rPr>
        <w:t>10.246.24 e</w:t>
      </w:r>
      <w:r w:rsidR="00EC77D3">
        <w:rPr>
          <w:rFonts w:ascii="Times New Roman" w:hAnsi="Times New Roman"/>
          <w:sz w:val="24"/>
          <w:szCs w:val="24"/>
        </w:rPr>
        <w:t xml:space="preserve">ura, što u polugodišnjem izvještaju o izvršenju proračuna predstavlja manjak prihoda poslovanja. </w:t>
      </w:r>
    </w:p>
    <w:p w14:paraId="6273DDBC" w14:textId="001C403D" w:rsidR="00EC77D3" w:rsidRDefault="00EC77D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ekonomskoj klasifikaciji prihoda poslovanja, najzastupljeniji su prihodi od upravnih i administrativnih pristojbi, pristojbi po posebnim propisima i naknadama. </w:t>
      </w:r>
    </w:p>
    <w:p w14:paraId="56D9020E" w14:textId="728ECEDF" w:rsidR="00EC77D3" w:rsidRDefault="00EC77D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Ujedno </w:t>
      </w:r>
      <w:r w:rsidR="00AD447A">
        <w:rPr>
          <w:rFonts w:ascii="Times New Roman" w:hAnsi="Times New Roman"/>
          <w:sz w:val="24"/>
          <w:szCs w:val="24"/>
        </w:rPr>
        <w:t xml:space="preserve">su i ti prihodi namjenski te je propisano njihovo korištenje. </w:t>
      </w:r>
    </w:p>
    <w:p w14:paraId="0E74BA37" w14:textId="76D1A0D0" w:rsidR="008D240D" w:rsidRDefault="00AD447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Prema strukturi, prihodi od poreza i prihodi od pomoći iz inozemstva i subjekata unutar općeg proračuna su drugi najzastupljeniji prihodi. </w:t>
      </w:r>
    </w:p>
    <w:p w14:paraId="631349D1" w14:textId="77777777" w:rsidR="002228CA" w:rsidRDefault="002228C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963E7E" w14:textId="1C666DB6" w:rsidR="008D240D" w:rsidRDefault="008D240D" w:rsidP="008D24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izvorima financiranja, općina ostvaruje prihode iz sljedećih izvora: </w:t>
      </w:r>
    </w:p>
    <w:p w14:paraId="208B8F26" w14:textId="1B5236B2" w:rsidR="008D240D" w:rsidRDefault="008D240D" w:rsidP="008D240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 prihodi i primici – </w:t>
      </w:r>
      <w:r w:rsidR="002228CA">
        <w:rPr>
          <w:rFonts w:ascii="Times New Roman" w:hAnsi="Times New Roman"/>
          <w:sz w:val="24"/>
          <w:szCs w:val="24"/>
        </w:rPr>
        <w:t>67.720,38 e</w:t>
      </w:r>
      <w:r>
        <w:rPr>
          <w:rFonts w:ascii="Times New Roman" w:hAnsi="Times New Roman"/>
          <w:sz w:val="24"/>
          <w:szCs w:val="24"/>
        </w:rPr>
        <w:t xml:space="preserve">ura </w:t>
      </w:r>
    </w:p>
    <w:p w14:paraId="14A62A32" w14:textId="62E2DBB9" w:rsidR="008D240D" w:rsidRDefault="002228CA" w:rsidP="008D240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Vlastiti prihodi – 5.521,97 e</w:t>
      </w:r>
      <w:r w:rsidR="008D240D">
        <w:rPr>
          <w:rFonts w:ascii="Times New Roman" w:hAnsi="Times New Roman"/>
          <w:sz w:val="24"/>
          <w:szCs w:val="24"/>
        </w:rPr>
        <w:t xml:space="preserve">ura </w:t>
      </w:r>
    </w:p>
    <w:p w14:paraId="1B97AD4A" w14:textId="5A214B65" w:rsidR="008D240D" w:rsidRDefault="002228CA" w:rsidP="008D240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za posebne namjene – 190.946,56 e</w:t>
      </w:r>
      <w:r w:rsidR="008D240D">
        <w:rPr>
          <w:rFonts w:ascii="Times New Roman" w:hAnsi="Times New Roman"/>
          <w:sz w:val="24"/>
          <w:szCs w:val="24"/>
        </w:rPr>
        <w:t xml:space="preserve">ura </w:t>
      </w:r>
    </w:p>
    <w:p w14:paraId="007B60FB" w14:textId="3B1A488A" w:rsidR="008D240D" w:rsidRPr="002228CA" w:rsidRDefault="002228CA" w:rsidP="002228C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Pomoći – 84.986,41 e</w:t>
      </w:r>
      <w:r w:rsidR="008D240D">
        <w:rPr>
          <w:rFonts w:ascii="Times New Roman" w:hAnsi="Times New Roman"/>
          <w:sz w:val="24"/>
          <w:szCs w:val="24"/>
        </w:rPr>
        <w:t xml:space="preserve">ura </w:t>
      </w:r>
      <w:r w:rsidR="008D240D" w:rsidRPr="002228CA">
        <w:rPr>
          <w:rFonts w:ascii="Times New Roman" w:hAnsi="Times New Roman"/>
          <w:sz w:val="24"/>
          <w:szCs w:val="24"/>
        </w:rPr>
        <w:t xml:space="preserve"> </w:t>
      </w:r>
    </w:p>
    <w:p w14:paraId="0F237A7B" w14:textId="4601FE10" w:rsidR="008D240D" w:rsidRPr="008D240D" w:rsidRDefault="008D240D" w:rsidP="008D24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Najviše prihoda </w:t>
      </w:r>
      <w:r w:rsidR="002228CA">
        <w:rPr>
          <w:rFonts w:ascii="Times New Roman" w:hAnsi="Times New Roman"/>
          <w:sz w:val="24"/>
          <w:szCs w:val="24"/>
        </w:rPr>
        <w:t xml:space="preserve">u proračun Općina je </w:t>
      </w:r>
      <w:r>
        <w:rPr>
          <w:rFonts w:ascii="Times New Roman" w:hAnsi="Times New Roman"/>
          <w:sz w:val="24"/>
          <w:szCs w:val="24"/>
        </w:rPr>
        <w:t xml:space="preserve">ostvarila iz izvora prihoda za posebne namjene, a zatim iz izvora pomoći i opći prihodi i primici. </w:t>
      </w:r>
    </w:p>
    <w:p w14:paraId="351EEBB3" w14:textId="7E450BB7" w:rsidR="00EC77D3" w:rsidRDefault="00EC77D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013E9C" w14:textId="77777777" w:rsidR="005C12D0" w:rsidRDefault="008D240D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 graf su</w:t>
      </w:r>
      <w:r w:rsidR="0094420F">
        <w:rPr>
          <w:rFonts w:ascii="Times New Roman" w:hAnsi="Times New Roman"/>
          <w:sz w:val="24"/>
          <w:szCs w:val="24"/>
        </w:rPr>
        <w:t xml:space="preserve"> rashodi poslovanja,</w:t>
      </w:r>
      <w:r w:rsidR="0094420F" w:rsidRPr="0094420F">
        <w:rPr>
          <w:rFonts w:ascii="Times New Roman" w:hAnsi="Times New Roman"/>
          <w:sz w:val="24"/>
          <w:szCs w:val="24"/>
        </w:rPr>
        <w:t xml:space="preserve"> </w:t>
      </w:r>
      <w:r w:rsidR="0094420F">
        <w:rPr>
          <w:rFonts w:ascii="Times New Roman" w:hAnsi="Times New Roman"/>
          <w:sz w:val="24"/>
          <w:szCs w:val="24"/>
        </w:rPr>
        <w:t>koji se odnose na rashode za zaposlene, materijalne rashode, financijske rashode, subvencije, pomoći dane unutar općeg proračuna, naknada građanima</w:t>
      </w:r>
      <w:r w:rsidR="005C12D0">
        <w:rPr>
          <w:rFonts w:ascii="Times New Roman" w:hAnsi="Times New Roman"/>
          <w:sz w:val="24"/>
          <w:szCs w:val="24"/>
        </w:rPr>
        <w:t xml:space="preserve"> i </w:t>
      </w:r>
      <w:r w:rsidR="0094420F">
        <w:rPr>
          <w:rFonts w:ascii="Times New Roman" w:hAnsi="Times New Roman"/>
          <w:sz w:val="24"/>
          <w:szCs w:val="24"/>
        </w:rPr>
        <w:t xml:space="preserve">kućanstvima te ostali rashodi. </w:t>
      </w:r>
    </w:p>
    <w:p w14:paraId="5C5B24AA" w14:textId="75EAA5F6" w:rsidR="005C12D0" w:rsidRDefault="004C35B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45EDD4CA" wp14:editId="59F8306F">
            <wp:extent cx="6616461" cy="3182620"/>
            <wp:effectExtent l="0" t="0" r="13335" b="1778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CAE205" w14:textId="336F57C6" w:rsidR="005C12D0" w:rsidRDefault="005C12D0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FCA410" w14:textId="523569F4" w:rsidR="000F7AE7" w:rsidRDefault="00ED290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grafikona se vidi da najveći udio odlazi na materijalne rashode, koji čine rashod</w:t>
      </w:r>
      <w:r w:rsidR="00580E8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poslovanja Općine Saborsko.</w:t>
      </w:r>
      <w:r w:rsidR="005C12D0">
        <w:rPr>
          <w:rFonts w:ascii="Times New Roman" w:hAnsi="Times New Roman"/>
          <w:sz w:val="24"/>
          <w:szCs w:val="24"/>
        </w:rPr>
        <w:t xml:space="preserve">  Oni se odnose na razne usluge unutar poslovanja Općine, kao što su stručno usavršavanje zaposlenika, uredski materijal, energija, usluge telefona, pošte, usluge tekućeg i </w:t>
      </w:r>
      <w:r w:rsidR="005C12D0">
        <w:rPr>
          <w:rFonts w:ascii="Times New Roman" w:hAnsi="Times New Roman"/>
          <w:sz w:val="24"/>
          <w:szCs w:val="24"/>
        </w:rPr>
        <w:lastRenderedPageBreak/>
        <w:t xml:space="preserve">investicijskog održavanja, komunalne usluge, intelektualne i ostale usluge, računalne usluge, naknade za </w:t>
      </w:r>
      <w:r w:rsidR="00B703FC">
        <w:rPr>
          <w:rFonts w:ascii="Times New Roman" w:hAnsi="Times New Roman"/>
          <w:sz w:val="24"/>
          <w:szCs w:val="24"/>
        </w:rPr>
        <w:t xml:space="preserve">rad predstavničkih i izvršnih tijela, premije osiguranja, reprezentacije i ostalo. </w:t>
      </w:r>
    </w:p>
    <w:p w14:paraId="45C98B9B" w14:textId="32B0EA9E" w:rsidR="004C35B3" w:rsidRDefault="00B703FC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nabavu nefinancijske imovine izvršeni su u iznosu od </w:t>
      </w:r>
      <w:r w:rsidR="004C35B3">
        <w:rPr>
          <w:rFonts w:ascii="Times New Roman" w:hAnsi="Times New Roman"/>
          <w:sz w:val="24"/>
          <w:szCs w:val="24"/>
        </w:rPr>
        <w:t>54.597,13 e</w:t>
      </w:r>
      <w:r>
        <w:rPr>
          <w:rFonts w:ascii="Times New Roman" w:hAnsi="Times New Roman"/>
          <w:sz w:val="24"/>
          <w:szCs w:val="24"/>
        </w:rPr>
        <w:t xml:space="preserve">ura, a odnose se na </w:t>
      </w:r>
      <w:r w:rsidR="004C35B3">
        <w:rPr>
          <w:rFonts w:ascii="Times New Roman" w:hAnsi="Times New Roman"/>
          <w:sz w:val="24"/>
          <w:szCs w:val="24"/>
        </w:rPr>
        <w:t>izradu idejnog rješenja za pješačku stazu uz jezero</w:t>
      </w:r>
      <w:r>
        <w:rPr>
          <w:rFonts w:ascii="Times New Roman" w:hAnsi="Times New Roman"/>
          <w:sz w:val="24"/>
          <w:szCs w:val="24"/>
        </w:rPr>
        <w:t>, nabavu uredskog namještaja</w:t>
      </w:r>
      <w:r w:rsidR="004C35B3">
        <w:rPr>
          <w:rFonts w:ascii="Times New Roman" w:hAnsi="Times New Roman"/>
          <w:sz w:val="24"/>
          <w:szCs w:val="24"/>
        </w:rPr>
        <w:t>, računalne opreme</w:t>
      </w:r>
      <w:r>
        <w:rPr>
          <w:rFonts w:ascii="Times New Roman" w:hAnsi="Times New Roman"/>
          <w:sz w:val="24"/>
          <w:szCs w:val="24"/>
        </w:rPr>
        <w:t xml:space="preserve">, </w:t>
      </w:r>
      <w:r w:rsidR="004C35B3">
        <w:rPr>
          <w:rFonts w:ascii="Times New Roman" w:hAnsi="Times New Roman"/>
          <w:sz w:val="24"/>
          <w:szCs w:val="24"/>
        </w:rPr>
        <w:t xml:space="preserve">namještaja za opremanje mrtvačnice, nabavu komunikacijskih uređaja, izgradnja potpornog zida i postavljanje ploča i rubnjaka uz dječje igralište u Ličkoj Jesenici, izrada dokumenata prostornog plana. </w:t>
      </w:r>
    </w:p>
    <w:p w14:paraId="62C94992" w14:textId="1CA96788" w:rsidR="00712559" w:rsidRDefault="0071255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nastavku se nalazi </w:t>
      </w:r>
      <w:r w:rsidR="00BC478E">
        <w:rPr>
          <w:rFonts w:ascii="Times New Roman" w:hAnsi="Times New Roman"/>
          <w:sz w:val="24"/>
          <w:szCs w:val="24"/>
        </w:rPr>
        <w:t>tablica</w:t>
      </w:r>
      <w:r>
        <w:rPr>
          <w:rFonts w:ascii="Times New Roman" w:hAnsi="Times New Roman"/>
          <w:sz w:val="24"/>
          <w:szCs w:val="24"/>
        </w:rPr>
        <w:t xml:space="preserve"> rashoda prema funkcijskoj klasifikaciji. </w:t>
      </w:r>
    </w:p>
    <w:tbl>
      <w:tblPr>
        <w:tblW w:w="9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1"/>
        <w:gridCol w:w="1260"/>
      </w:tblGrid>
      <w:tr w:rsidR="00BC478E" w14:paraId="11032DF5" w14:textId="77777777" w:rsidTr="009B0A65">
        <w:trPr>
          <w:trHeight w:val="30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970D" w14:textId="77777777" w:rsidR="00BC478E" w:rsidRDefault="00BC47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Opće javne usluge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96C7" w14:textId="4C69BA09" w:rsidR="00BC478E" w:rsidRDefault="004C35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185.322,58</w:t>
            </w:r>
          </w:p>
        </w:tc>
      </w:tr>
      <w:tr w:rsidR="00BC478E" w14:paraId="7AEE6C62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C594" w14:textId="77777777" w:rsidR="00BC478E" w:rsidRDefault="00BC47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Izvršna  i zakonodavna tijela, financijski i fiskalni poslovi, vanjski poslovi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93BD" w14:textId="18955502" w:rsidR="00BC478E" w:rsidRDefault="004C35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18.684,62</w:t>
            </w:r>
          </w:p>
        </w:tc>
      </w:tr>
      <w:tr w:rsidR="00BC478E" w14:paraId="78F69341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EAAF" w14:textId="54F1C64F" w:rsidR="00BC478E" w:rsidRDefault="00BC47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Opće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F173" w14:textId="3A426AAE" w:rsidR="00BC478E" w:rsidRDefault="004C35B3" w:rsidP="004C35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163.637,96</w:t>
            </w:r>
          </w:p>
        </w:tc>
      </w:tr>
      <w:tr w:rsidR="00BC478E" w14:paraId="2E2A7EFE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1395" w14:textId="0BCB1CD0" w:rsidR="00BC478E" w:rsidRDefault="00BC478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Opće javne usluge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156C" w14:textId="019FB346" w:rsidR="00BC478E" w:rsidRDefault="004C35B3" w:rsidP="004C35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9B0A65" w14:paraId="3CDB7D88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96F0" w14:textId="68421714" w:rsidR="009B0A65" w:rsidRDefault="009B0A65" w:rsidP="004C35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Usluge unapređenja stanovanja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512A" w14:textId="1FFF82B4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107.526,17</w:t>
            </w:r>
          </w:p>
        </w:tc>
      </w:tr>
      <w:tr w:rsidR="009B0A65" w14:paraId="5DE02E7E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8E41" w14:textId="52C4BEB6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2C7A" w14:textId="66227FBA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81.104,04</w:t>
            </w:r>
          </w:p>
        </w:tc>
      </w:tr>
      <w:tr w:rsidR="009B0A65" w14:paraId="482B907F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8072" w14:textId="43EBDCC7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vezani za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8C1A" w14:textId="4DC8D4EF" w:rsidR="009B0A65" w:rsidRDefault="009B0A65" w:rsidP="004C35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26.422,13</w:t>
            </w:r>
          </w:p>
        </w:tc>
      </w:tr>
      <w:tr w:rsidR="009B0A65" w14:paraId="5E962ED3" w14:textId="77777777" w:rsidTr="0076561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23D0" w14:textId="127120D5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CDEF" w14:textId="194B20F7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9B0A65" w14:paraId="43816C22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4F29" w14:textId="35118633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Religijske i druge službe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B110" w14:textId="7D86C1A8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9B0A65" w14:paraId="07DC7ADD" w14:textId="77777777" w:rsidTr="0076561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2C77" w14:textId="33AC8380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rekreaciju, kulturu i religiju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C273" w14:textId="1A52DC43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9B0A65" w14:paraId="0356B186" w14:textId="77777777" w:rsidTr="0076561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35E5" w14:textId="4366CF3B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6237" w14:textId="5C1A22AD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50.584,06</w:t>
            </w:r>
          </w:p>
        </w:tc>
      </w:tr>
      <w:tr w:rsidR="009B0A65" w14:paraId="7CAF83E3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177B" w14:textId="0E37EABE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8D33" w14:textId="4185A27F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44.354,60</w:t>
            </w:r>
          </w:p>
        </w:tc>
      </w:tr>
      <w:tr w:rsidR="009B0A65" w14:paraId="40FE7D82" w14:textId="77777777" w:rsidTr="0076561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9BAB" w14:textId="7CA10AF9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Obrazovanje koje se ne može definirati po stupnju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D7CC" w14:textId="663638F4" w:rsidR="009B0A65" w:rsidRDefault="009B0A65" w:rsidP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</w:tr>
      <w:tr w:rsidR="009B0A65" w14:paraId="734D3CDF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BA3E" w14:textId="2C71EC26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Dodatne usluge u obrazovanju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CA71" w14:textId="34F1AD5B" w:rsidR="009B0A65" w:rsidRDefault="009B0A65" w:rsidP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2.424,98</w:t>
            </w:r>
          </w:p>
        </w:tc>
      </w:tr>
      <w:tr w:rsidR="009B0A65" w14:paraId="6FF1AC8D" w14:textId="77777777" w:rsidTr="009B0A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1F89" w14:textId="38ED00E2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Usluge obrazovanja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B399" w14:textId="7813550C" w:rsid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1.704,48</w:t>
            </w:r>
          </w:p>
        </w:tc>
      </w:tr>
      <w:tr w:rsidR="009B0A65" w14:paraId="4F76C7CD" w14:textId="77777777" w:rsidTr="0076561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915D" w14:textId="6D957865" w:rsidR="009B0A65" w:rsidRDefault="009B0A6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Sveukupno rashodi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653E" w14:textId="012113A6" w:rsidR="009B0A65" w:rsidRPr="009B0A65" w:rsidRDefault="009B0A6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0A65">
              <w:rPr>
                <w:rFonts w:ascii="Calibri" w:hAnsi="Calibri" w:cs="Calibri"/>
                <w:b/>
                <w:color w:val="000000"/>
              </w:rPr>
              <w:t>353.421,56</w:t>
            </w:r>
          </w:p>
        </w:tc>
      </w:tr>
    </w:tbl>
    <w:p w14:paraId="040593F5" w14:textId="3E5CB69E" w:rsidR="000F7AE7" w:rsidRDefault="000F7AE7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08C086" w14:textId="0E58CAE3" w:rsidR="000F49E4" w:rsidRDefault="0071255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prema funkcijskoj klasifikaciji prikazuju njihovu namjenu. R</w:t>
      </w:r>
      <w:r w:rsidR="00970976">
        <w:rPr>
          <w:rFonts w:ascii="Times New Roman" w:hAnsi="Times New Roman"/>
          <w:sz w:val="24"/>
          <w:szCs w:val="24"/>
        </w:rPr>
        <w:t>ashodi poslovanja najviše su se odnosili na opće</w:t>
      </w:r>
      <w:r>
        <w:rPr>
          <w:rFonts w:ascii="Times New Roman" w:hAnsi="Times New Roman"/>
          <w:sz w:val="24"/>
          <w:szCs w:val="24"/>
        </w:rPr>
        <w:t xml:space="preserve"> javne</w:t>
      </w:r>
      <w:r w:rsidR="00970976">
        <w:rPr>
          <w:rFonts w:ascii="Times New Roman" w:hAnsi="Times New Roman"/>
          <w:sz w:val="24"/>
          <w:szCs w:val="24"/>
        </w:rPr>
        <w:t xml:space="preserve"> usluge, </w:t>
      </w:r>
      <w:r>
        <w:rPr>
          <w:rFonts w:ascii="Times New Roman" w:hAnsi="Times New Roman"/>
          <w:sz w:val="24"/>
          <w:szCs w:val="24"/>
        </w:rPr>
        <w:t>u koje spadaju izvršna i zakonodavna tijela</w:t>
      </w:r>
      <w:r w:rsidR="009B0A65">
        <w:rPr>
          <w:rFonts w:ascii="Times New Roman" w:hAnsi="Times New Roman"/>
          <w:sz w:val="24"/>
          <w:szCs w:val="24"/>
        </w:rPr>
        <w:t xml:space="preserve"> (odnosi se na financiranje predstavničkog i izvršenog tijela)</w:t>
      </w:r>
      <w:r>
        <w:rPr>
          <w:rFonts w:ascii="Times New Roman" w:hAnsi="Times New Roman"/>
          <w:sz w:val="24"/>
          <w:szCs w:val="24"/>
        </w:rPr>
        <w:t>, opće usluge i opće usl</w:t>
      </w:r>
      <w:r w:rsidR="00850C9D">
        <w:rPr>
          <w:rFonts w:ascii="Times New Roman" w:hAnsi="Times New Roman"/>
          <w:sz w:val="24"/>
          <w:szCs w:val="24"/>
        </w:rPr>
        <w:t xml:space="preserve">uge koje nisu drugdje svrstane, a odnose se većinom na financiranje materijalnih rashoda od rashoda za zaposlene, bankarskih usluga, računalnih usluga, elektronskim medija i sl. </w:t>
      </w:r>
    </w:p>
    <w:p w14:paraId="4724E37A" w14:textId="6894AEDE" w:rsidR="00712559" w:rsidRDefault="0071255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Zatim prema klasifikaciji, drugi rashodi prema namjeni se odnose na usluge unapređenja stanovanja i zajednice, u koje ulazi razvoj zajednice</w:t>
      </w:r>
      <w:r w:rsidR="00850C9D">
        <w:rPr>
          <w:rFonts w:ascii="Times New Roman" w:hAnsi="Times New Roman"/>
          <w:sz w:val="24"/>
          <w:szCs w:val="24"/>
        </w:rPr>
        <w:t xml:space="preserve">, a ono se odnosi na rashode  financiranja Turističke zajednice Plitvičke doline, financiranje </w:t>
      </w:r>
      <w:proofErr w:type="spellStart"/>
      <w:r w:rsidR="00850C9D">
        <w:rPr>
          <w:rFonts w:ascii="Times New Roman" w:hAnsi="Times New Roman"/>
          <w:sz w:val="24"/>
          <w:szCs w:val="24"/>
        </w:rPr>
        <w:t>traila</w:t>
      </w:r>
      <w:proofErr w:type="spellEnd"/>
      <w:r w:rsidR="00850C9D">
        <w:rPr>
          <w:rFonts w:ascii="Times New Roman" w:hAnsi="Times New Roman"/>
          <w:sz w:val="24"/>
          <w:szCs w:val="24"/>
        </w:rPr>
        <w:t xml:space="preserve">, uređenje javnih površina, opremanje mrtvačnice, uređenje dječjeg igrališta, a </w:t>
      </w:r>
      <w:r w:rsidR="009B0A65">
        <w:rPr>
          <w:rFonts w:ascii="Times New Roman" w:hAnsi="Times New Roman"/>
          <w:sz w:val="24"/>
          <w:szCs w:val="24"/>
        </w:rPr>
        <w:t xml:space="preserve"> </w:t>
      </w:r>
      <w:r w:rsidR="00BC478E">
        <w:rPr>
          <w:rFonts w:ascii="Times New Roman" w:hAnsi="Times New Roman"/>
          <w:sz w:val="24"/>
          <w:szCs w:val="24"/>
        </w:rPr>
        <w:t>rashodi vezani za stanovanje i komunalne pogodno</w:t>
      </w:r>
      <w:r w:rsidR="00850C9D">
        <w:rPr>
          <w:rFonts w:ascii="Times New Roman" w:hAnsi="Times New Roman"/>
          <w:sz w:val="24"/>
          <w:szCs w:val="24"/>
        </w:rPr>
        <w:t>sti koji nisu drugdje svrstani odnose se na montažu i demontažu prigodno blagdanske rasvjete, usluge zbrinjavanja napuštenih životinja, financiranje javnog prijevoza.</w:t>
      </w:r>
    </w:p>
    <w:p w14:paraId="2B056B91" w14:textId="6A299746" w:rsidR="00850C9D" w:rsidRDefault="00850C9D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rekreacije, kulture i religije sastoje se od rashoda koji se odnose na religijske i dr</w:t>
      </w:r>
      <w:r w:rsidR="003C0D3F">
        <w:rPr>
          <w:rFonts w:ascii="Times New Roman" w:hAnsi="Times New Roman"/>
          <w:sz w:val="24"/>
          <w:szCs w:val="24"/>
        </w:rPr>
        <w:t xml:space="preserve">uge službe zajednice, a tu spadaju rashodi donacije vjerskim zajednicama i rashodi za rekreaciju, kulturu i religiju koji nisu drugdje svrstani odnose se na financiranje udruga na temelju javnog poziva. </w:t>
      </w:r>
    </w:p>
    <w:p w14:paraId="061D7C89" w14:textId="20B096E6" w:rsidR="00BC478E" w:rsidRDefault="00BC478E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Zatim slijede rashodi koje </w:t>
      </w:r>
      <w:r w:rsidR="003C0D3F">
        <w:rPr>
          <w:rFonts w:ascii="Times New Roman" w:hAnsi="Times New Roman"/>
          <w:sz w:val="24"/>
          <w:szCs w:val="24"/>
        </w:rPr>
        <w:t xml:space="preserve">koji se prema namjeni svrstavaju u </w:t>
      </w:r>
      <w:r>
        <w:rPr>
          <w:rFonts w:ascii="Times New Roman" w:hAnsi="Times New Roman"/>
          <w:sz w:val="24"/>
          <w:szCs w:val="24"/>
        </w:rPr>
        <w:t>obrazovanje i to na predškolsko i osnovno obrazovanje</w:t>
      </w:r>
      <w:r w:rsidR="003C0D3F">
        <w:rPr>
          <w:rFonts w:ascii="Times New Roman" w:hAnsi="Times New Roman"/>
          <w:sz w:val="24"/>
          <w:szCs w:val="24"/>
        </w:rPr>
        <w:t xml:space="preserve"> (rashodi su vezani uz financiranje vrtića)</w:t>
      </w:r>
      <w:r>
        <w:rPr>
          <w:rFonts w:ascii="Times New Roman" w:hAnsi="Times New Roman"/>
          <w:sz w:val="24"/>
          <w:szCs w:val="24"/>
        </w:rPr>
        <w:t>, obrazovanje koje se ne može definirati po stupnju</w:t>
      </w:r>
      <w:r w:rsidR="003C0D3F">
        <w:rPr>
          <w:rFonts w:ascii="Times New Roman" w:hAnsi="Times New Roman"/>
          <w:sz w:val="24"/>
          <w:szCs w:val="24"/>
        </w:rPr>
        <w:t xml:space="preserve"> (rashodi za stipendije)</w:t>
      </w:r>
      <w:r>
        <w:rPr>
          <w:rFonts w:ascii="Times New Roman" w:hAnsi="Times New Roman"/>
          <w:sz w:val="24"/>
          <w:szCs w:val="24"/>
        </w:rPr>
        <w:t>, dodatne usluge u obrazovanju</w:t>
      </w:r>
      <w:r w:rsidR="003C0D3F">
        <w:rPr>
          <w:rFonts w:ascii="Times New Roman" w:hAnsi="Times New Roman"/>
          <w:sz w:val="24"/>
          <w:szCs w:val="24"/>
        </w:rPr>
        <w:t xml:space="preserve"> (rashodi za financiranje učeničkih domova)</w:t>
      </w:r>
      <w:r>
        <w:rPr>
          <w:rFonts w:ascii="Times New Roman" w:hAnsi="Times New Roman"/>
          <w:sz w:val="24"/>
          <w:szCs w:val="24"/>
        </w:rPr>
        <w:t xml:space="preserve"> i usluge obrazova</w:t>
      </w:r>
      <w:r w:rsidR="003C0D3F">
        <w:rPr>
          <w:rFonts w:ascii="Times New Roman" w:hAnsi="Times New Roman"/>
          <w:sz w:val="24"/>
          <w:szCs w:val="24"/>
        </w:rPr>
        <w:t xml:space="preserve">nja koje nisu drugdje svrstane (rashodi koji se odnose na financiranje škole u prirodi, najam sportske dvorane, troškovi ekskurzije. </w:t>
      </w:r>
    </w:p>
    <w:p w14:paraId="469D1432" w14:textId="77777777" w:rsidR="009228CA" w:rsidRDefault="009228C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9C33DC" w14:textId="50F09BD4" w:rsidR="00BA3019" w:rsidRPr="00BA3019" w:rsidRDefault="003C0989" w:rsidP="003C0989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 Obrazloženju Polugodišnjeg izvještaja o izvršenju proračuna za 2025. godinu detaljnije su obrazloženi prihodi i rashodi poslovanja. </w:t>
      </w:r>
      <w:bookmarkStart w:id="0" w:name="_GoBack"/>
      <w:bookmarkEnd w:id="0"/>
    </w:p>
    <w:sectPr w:rsidR="00BA3019" w:rsidRPr="00BA3019" w:rsidSect="004C35B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D50"/>
    <w:multiLevelType w:val="hybridMultilevel"/>
    <w:tmpl w:val="D4847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5738"/>
    <w:multiLevelType w:val="hybridMultilevel"/>
    <w:tmpl w:val="BA48008E"/>
    <w:lvl w:ilvl="0" w:tplc="E7A40E1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A7"/>
    <w:rsid w:val="0006450A"/>
    <w:rsid w:val="000645DA"/>
    <w:rsid w:val="00075D25"/>
    <w:rsid w:val="000B5D1A"/>
    <w:rsid w:val="000C2B8A"/>
    <w:rsid w:val="000F49E4"/>
    <w:rsid w:val="000F7AE7"/>
    <w:rsid w:val="00140998"/>
    <w:rsid w:val="002228CA"/>
    <w:rsid w:val="00275A0E"/>
    <w:rsid w:val="00371772"/>
    <w:rsid w:val="0039550A"/>
    <w:rsid w:val="003C0989"/>
    <w:rsid w:val="003C0D3F"/>
    <w:rsid w:val="00444E5F"/>
    <w:rsid w:val="00486AD3"/>
    <w:rsid w:val="004B1911"/>
    <w:rsid w:val="004C0708"/>
    <w:rsid w:val="004C35B3"/>
    <w:rsid w:val="004E4D90"/>
    <w:rsid w:val="005803F2"/>
    <w:rsid w:val="00580E89"/>
    <w:rsid w:val="005C12D0"/>
    <w:rsid w:val="00647E01"/>
    <w:rsid w:val="00712559"/>
    <w:rsid w:val="007359B7"/>
    <w:rsid w:val="00784EEF"/>
    <w:rsid w:val="00850C9D"/>
    <w:rsid w:val="00880C51"/>
    <w:rsid w:val="008D240D"/>
    <w:rsid w:val="009228CA"/>
    <w:rsid w:val="0094420F"/>
    <w:rsid w:val="00970976"/>
    <w:rsid w:val="00991ABB"/>
    <w:rsid w:val="009A69E9"/>
    <w:rsid w:val="009B0A65"/>
    <w:rsid w:val="00A91750"/>
    <w:rsid w:val="00AB1258"/>
    <w:rsid w:val="00AB1D96"/>
    <w:rsid w:val="00AD447A"/>
    <w:rsid w:val="00B45F68"/>
    <w:rsid w:val="00B703FC"/>
    <w:rsid w:val="00BA3019"/>
    <w:rsid w:val="00BC478E"/>
    <w:rsid w:val="00BF55A7"/>
    <w:rsid w:val="00C302CB"/>
    <w:rsid w:val="00CD6558"/>
    <w:rsid w:val="00D73867"/>
    <w:rsid w:val="00DA4771"/>
    <w:rsid w:val="00DE2E4A"/>
    <w:rsid w:val="00E108E0"/>
    <w:rsid w:val="00E35345"/>
    <w:rsid w:val="00EC77D3"/>
    <w:rsid w:val="00ED2905"/>
    <w:rsid w:val="00F047B9"/>
    <w:rsid w:val="00F11BAC"/>
    <w:rsid w:val="00F75AE7"/>
    <w:rsid w:val="00F8286C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2165"/>
  <w15:chartTrackingRefBased/>
  <w15:docId w15:val="{C6F54720-0EEC-4589-B429-9E55A1B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4">
    <w:name w:val="s4"/>
    <w:basedOn w:val="Normal"/>
    <w:rsid w:val="00F11B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8D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Račun prihoda i rashoda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List1!$A$4:$A$6</c:f>
              <c:strCache>
                <c:ptCount val="3"/>
                <c:pt idx="0">
                  <c:v>Prihodi poslovanja </c:v>
                </c:pt>
                <c:pt idx="1">
                  <c:v>Rashodi poslovanja </c:v>
                </c:pt>
                <c:pt idx="2">
                  <c:v>Rashodi za nabavu nefinancijske imovine </c:v>
                </c:pt>
              </c:strCache>
            </c:strRef>
          </c:cat>
          <c:val>
            <c:numRef>
              <c:f>List1!$B$4:$B$6</c:f>
              <c:numCache>
                <c:formatCode>#,##0.00</c:formatCode>
                <c:ptCount val="3"/>
                <c:pt idx="0">
                  <c:v>343175.32</c:v>
                </c:pt>
                <c:pt idx="1">
                  <c:v>298824.43</c:v>
                </c:pt>
                <c:pt idx="2">
                  <c:v>54597.13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ED-419E-8CC9-BA5FDDA42A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325333135"/>
        <c:axId val="1325337711"/>
      </c:barChart>
      <c:catAx>
        <c:axId val="1325333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5337711"/>
        <c:crosses val="autoZero"/>
        <c:auto val="1"/>
        <c:lblAlgn val="ctr"/>
        <c:lblOffset val="100"/>
        <c:noMultiLvlLbl val="0"/>
      </c:catAx>
      <c:valAx>
        <c:axId val="1325337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53331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List1!$A$4:$A$11</c:f>
              <c:strCache>
                <c:ptCount val="8"/>
                <c:pt idx="0">
                  <c:v>Rashodi za zaposlene 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Pomoći dane u inozemstvo i unutar općeg proračuna </c:v>
                </c:pt>
                <c:pt idx="4">
                  <c:v>Naknade građanima i kućanstvima </c:v>
                </c:pt>
                <c:pt idx="5">
                  <c:v>Rashodi za donacije, kazne, naknade štete i kapitalne pomoći</c:v>
                </c:pt>
                <c:pt idx="7">
                  <c:v>Rashodi za nabavu proizvedene dugotrajne imovine </c:v>
                </c:pt>
              </c:strCache>
            </c:strRef>
          </c:cat>
          <c:val>
            <c:numRef>
              <c:f>List1!$B$4:$B$11</c:f>
              <c:numCache>
                <c:formatCode>#,##0.00</c:formatCode>
                <c:ptCount val="8"/>
                <c:pt idx="0">
                  <c:v>79976.600000000006</c:v>
                </c:pt>
                <c:pt idx="1">
                  <c:v>135626.57999999999</c:v>
                </c:pt>
                <c:pt idx="2">
                  <c:v>717.53</c:v>
                </c:pt>
                <c:pt idx="3">
                  <c:v>54763.34</c:v>
                </c:pt>
                <c:pt idx="4">
                  <c:v>7466.73</c:v>
                </c:pt>
                <c:pt idx="5">
                  <c:v>20273.650000000001</c:v>
                </c:pt>
                <c:pt idx="7">
                  <c:v>54597.13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C-4292-A78C-118FEBFE17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39594719"/>
        <c:axId val="1439589727"/>
        <c:axId val="0"/>
      </c:bar3DChart>
      <c:catAx>
        <c:axId val="1439594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39589727"/>
        <c:crosses val="autoZero"/>
        <c:auto val="1"/>
        <c:lblAlgn val="ctr"/>
        <c:lblOffset val="100"/>
        <c:noMultiLvlLbl val="0"/>
      </c:catAx>
      <c:valAx>
        <c:axId val="1439589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395947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9</cp:revision>
  <dcterms:created xsi:type="dcterms:W3CDTF">2024-07-18T07:19:00Z</dcterms:created>
  <dcterms:modified xsi:type="dcterms:W3CDTF">2025-09-15T11:05:00Z</dcterms:modified>
</cp:coreProperties>
</file>