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6140ac582714d2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27530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SABORSKO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707.116,40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646.210,26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424.019,64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456.485,51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283.096,76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189.724,75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275.962,55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193.555,40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267.862,55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192.877,00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3.152,25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devetomjesečnom razdoblju ostvareni rashodi su veći od prihoda i zbog toga je nastao manjak prihoda u iznosu 3.152,25 eura.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31.867,86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w:t>
            </w:r>
          </w:p>
        </w:tc>
      </w:tr>
    </w:tbl>
    <w:p>
      <w:pPr>
        <w:spacing w:before="0" w:after="0"/>
      </w:pPr>
    </w:p>
    <w:p>
      <w:pPr>
        <w:jc w:val="both"/>
        <w:pStyle w:val="Normal"/>
        <w:spacing w:line="240" w:lineRule="auto"/>
      </w:pPr>
      <w:r>
        <w:rPr>
          <w:sz w:val="24"/>
          <w:rFonts w:ascii="Times New Roman" w:hAnsi="Times New Roman"/>
        </w:rPr>
        <w:t>Porezi na imovinu ostvareni su u manjem iznosu od prošle godine jer ih od 2025. godine zamjenjuje porez na nekretnine.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99.602,68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w:t>
            </w:r>
          </w:p>
        </w:tc>
      </w:tr>
    </w:tbl>
    <w:p>
      <w:pPr>
        <w:spacing w:before="0" w:after="0"/>
      </w:pPr>
    </w:p>
    <w:p>
      <w:pPr>
        <w:jc w:val="both"/>
        <w:pStyle w:val="Normal"/>
        <w:spacing w:line="240" w:lineRule="auto"/>
      </w:pPr>
      <w:r>
        <w:rPr>
          <w:sz w:val="24"/>
          <w:rFonts w:ascii="Times New Roman" w:hAnsi="Times New Roman"/>
        </w:rPr>
        <w:t>Ostvareni su za 72,90%. Ostvareni su u manjem iznosu zbog novog knjiženja prihoda od fiskalnog izravnanja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Odnosi se na financiranje javnih radova, kojih u 2024. godini nije bilo.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fiskalnog izravnanja se sukladno novom Pravilniku o proračunskom računovodstvu i Računskom planu od 2025. godine knjiže se na novom računu.</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147.957,71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w:t>
            </w:r>
          </w:p>
        </w:tc>
      </w:tr>
    </w:tbl>
    <w:p>
      <w:pPr>
        <w:spacing w:before="0" w:after="0"/>
      </w:pPr>
    </w:p>
    <w:p>
      <w:pPr>
        <w:jc w:val="both"/>
        <w:pStyle w:val="Normal"/>
        <w:spacing w:line="240" w:lineRule="auto"/>
      </w:pPr>
      <w:r>
        <w:rPr>
          <w:sz w:val="24"/>
          <w:rFonts w:ascii="Times New Roman" w:hAnsi="Times New Roman"/>
        </w:rPr>
        <w:t>Ostvareni su u manjem iznosu u odnosu na prošlo razdoblje zbog manje naplate zakupa i iznajmljivanja imovine, a najvećim dijelom jer još nismo ostvarili prihode od naknade za korištenje nefinancijske imovine, koja je prošle godine bila isplaćena u rujnu.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264,4</w:t>
            </w:r>
          </w:p>
        </w:tc>
      </w:tr>
    </w:tbl>
    <w:p>
      <w:pPr>
        <w:spacing w:before="0" w:after="0"/>
      </w:pPr>
    </w:p>
    <w:p>
      <w:pPr>
        <w:jc w:val="both"/>
        <w:pStyle w:val="Normal"/>
        <w:spacing w:line="240" w:lineRule="auto"/>
      </w:pPr>
      <w:r>
        <w:rPr>
          <w:sz w:val="24"/>
          <w:rFonts w:ascii="Times New Roman" w:hAnsi="Times New Roman"/>
        </w:rPr>
        <w:t>Ostvarene su 164,40% više u odnosu na prošlo razdoblje zbog veće naplate turističke pristojbe i naknade za zadržavanje nezakonito izgrađene zgrade u prostoru.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Ove godine nisu ostvarene jer smo se prošle godine javili na javni natječaj za investiranje.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57.875,31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82.324,62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Style w:val="Normal"/>
        <w:spacing w:line="240" w:lineRule="auto"/>
      </w:pPr>
      <w:r>
        <w:rPr>
          <w:sz w:val="24"/>
          <w:rFonts w:ascii="Times New Roman" w:hAnsi="Times New Roman"/>
        </w:rPr>
        <w:t>Rashodi su povećani za 42,20% u odnosu na prošlu godinu zbog povećanja plaća.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w:t>
            </w:r>
          </w:p>
        </w:tc>
      </w:tr>
    </w:tbl>
    <w:p>
      <w:pPr>
        <w:spacing w:before="0" w:after="0"/>
      </w:pPr>
    </w:p>
    <w:p>
      <w:pPr>
        <w:jc w:val="both"/>
        <w:pStyle w:val="Normal"/>
        <w:spacing w:line="240" w:lineRule="auto"/>
      </w:pPr>
      <w:r>
        <w:rPr>
          <w:sz w:val="24"/>
          <w:rFonts w:ascii="Times New Roman" w:hAnsi="Times New Roman"/>
        </w:rPr>
        <w:t>Doprinosi su također zbog povećanja plaća veći u odnosu na prošlu godinu.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w:t>
            </w:r>
          </w:p>
        </w:tc>
      </w:tr>
    </w:tbl>
    <w:p>
      <w:pPr>
        <w:spacing w:before="0" w:after="0"/>
      </w:pPr>
    </w:p>
    <w:p>
      <w:pPr>
        <w:jc w:val="both"/>
        <w:pStyle w:val="Normal"/>
        <w:spacing w:line="240" w:lineRule="auto"/>
      </w:pPr>
      <w:r>
        <w:rPr>
          <w:sz w:val="24"/>
          <w:rFonts w:ascii="Times New Roman" w:hAnsi="Times New Roman"/>
        </w:rPr>
        <w:t>Rashodi za materijal i energiju su povećani zbog veće nabave sitnog inventara i većih rashoda koji se odnose na energiju i nabavu peleta, kojih prošlo razdoblje nije bilo.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25.188,72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43.777,66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w:t>
            </w:r>
          </w:p>
        </w:tc>
      </w:tr>
    </w:tbl>
    <w:p>
      <w:pPr>
        <w:spacing w:before="0" w:after="0"/>
      </w:pPr>
    </w:p>
    <w:p>
      <w:pPr>
        <w:jc w:val="both"/>
        <w:pStyle w:val="Normal"/>
        <w:spacing w:line="240" w:lineRule="auto"/>
      </w:pPr>
      <w:r>
        <w:rPr>
          <w:sz w:val="24"/>
          <w:rFonts w:ascii="Times New Roman" w:hAnsi="Times New Roman"/>
        </w:rPr>
        <w:t>Rashodi su povećani u odnosu na prethodno razdoblje za 73,80%. Povećanje dolazi zbog troškova lokalnih izbora i financiranja članova biračkog odbora, povjerenstava i sl. Premija osiguranja je povećana zbog porasta cijena. Reprezentacija je povećana zbog manifestacija kojih nije bilo u prethodnom razdoblju, a ostali nespomenuti rashodi poslovanja su povećani zbog nastanka dodatnih rashoda za manifestacije.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su nastali u ovoj godini zbog sufinanciranja lokalnih izbora prema zahtjevu Županije.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64.414,55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72.039,62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pPr>
        <w:jc w:val="both"/>
        <w:pStyle w:val="Normal"/>
        <w:spacing w:line="240" w:lineRule="auto"/>
      </w:pPr>
      <w:r>
        <w:rPr>
          <w:sz w:val="24"/>
          <w:rFonts w:ascii="Times New Roman" w:hAnsi="Times New Roman"/>
        </w:rPr>
        <w:t>Do povećanja dolazi zbog nastanka novog rashoda kojeg nije bilo prethodno razdoblje, a odnosi se na kapitalnu pomoć proračunskih korisnika drugih proračuna za nabavku vozila. 
Isto tako tekuće pomoći proračunskim korisnicima drugih proračuna su povećane zbog financiranja vrtića koji je korisnik drugog proračuna. Porast rashoda odnosi se na plaće djelatnika vrtića koje su ove godine porasle u odnosu na prethodno razdoblje.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pPr>
        <w:jc w:val="both"/>
        <w:pStyle w:val="Normal"/>
        <w:spacing w:line="240" w:lineRule="auto"/>
      </w:pPr>
      <w:r>
        <w:rPr>
          <w:sz w:val="24"/>
          <w:rFonts w:ascii="Times New Roman" w:hAnsi="Times New Roman"/>
        </w:rPr>
        <w:t>Dolazi do smanjenja rashoda u odnosu na prethodno razdoblje zbog manjeg broja stipendista i samim time su isplaćene manje stipendije i ove godine nije još bilo isplata za porodiljne naknade i opreme za novorođenčad. 
Naknade građanima i kućanstvima u naravi su povećane zbog pomoći u naravi koja je veća u odnosu na prethodno razdoblje.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33.407,63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w:t>
            </w:r>
          </w:p>
        </w:tc>
      </w:tr>
    </w:tbl>
    <w:p>
      <w:pPr>
        <w:spacing w:before="0" w:after="0"/>
      </w:pPr>
    </w:p>
    <w:p>
      <w:pPr>
        <w:jc w:val="both"/>
        <w:pStyle w:val="Normal"/>
        <w:spacing w:line="240" w:lineRule="auto"/>
      </w:pPr>
      <w:r>
        <w:rPr>
          <w:sz w:val="24"/>
          <w:rFonts w:ascii="Times New Roman" w:hAnsi="Times New Roman"/>
        </w:rPr>
        <w:t>Povećane su u odnosu na prethodne razdoblje najviše zbog financiranja djelatnosti Turističke zajednice i od ove godine se financira i plaća djelatnice Turističke zajednice, koje prethodno razdoblje nije bilo.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25.218,75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w:t>
            </w:r>
          </w:p>
        </w:tc>
      </w:tr>
    </w:tbl>
    <w:p>
      <w:pPr>
        <w:spacing w:before="0" w:after="0"/>
      </w:pPr>
    </w:p>
    <w:p>
      <w:pPr>
        <w:jc w:val="both"/>
        <w:pStyle w:val="Normal"/>
        <w:spacing w:line="240" w:lineRule="auto"/>
      </w:pPr>
      <w:r>
        <w:rPr>
          <w:sz w:val="24"/>
          <w:rFonts w:ascii="Times New Roman" w:hAnsi="Times New Roman"/>
        </w:rPr>
        <w:t>Rashodi su smanjeni jer se je prošle godine dala donacija za kapitalno ulaganje u vjerske zajednice koje ove godine neće biti.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540,3</w:t>
            </w:r>
          </w:p>
        </w:tc>
      </w:tr>
    </w:tbl>
    <w:p>
      <w:pPr>
        <w:spacing w:before="0" w:after="0"/>
      </w:pPr>
    </w:p>
    <w:p>
      <w:pPr>
        <w:jc w:val="both"/>
        <w:pStyle w:val="Normal"/>
        <w:spacing w:line="240" w:lineRule="auto"/>
      </w:pPr>
      <w:r>
        <w:rPr>
          <w:sz w:val="24"/>
          <w:rFonts w:ascii="Times New Roman" w:hAnsi="Times New Roman"/>
        </w:rPr>
        <w:t>Kazne su povećane zbog nastanka dodatne kazne po inspekcijskom nalogu.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56.830,52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219.692,04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386,6</w:t>
            </w:r>
          </w:p>
        </w:tc>
      </w:tr>
    </w:tbl>
    <w:p>
      <w:pPr>
        <w:spacing w:before="0" w:after="0"/>
      </w:pPr>
    </w:p>
    <w:p>
      <w:pPr>
        <w:jc w:val="both"/>
        <w:pStyle w:val="Normal"/>
        <w:spacing w:line="240" w:lineRule="auto"/>
      </w:pPr>
      <w:r>
        <w:rPr>
          <w:sz w:val="24"/>
          <w:rFonts w:ascii="Times New Roman" w:hAnsi="Times New Roman"/>
        </w:rPr>
        <w:t>Prema Pravilniku o proračunskom računovodstvu i Računskom planu uvode se nova knjiženja, pa tako i na nenaplaćene prihoda poslovanja zbog čega dolazi do većeg odstupanja.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w:t>
            </w:r>
          </w:p>
        </w:tc>
      </w:tr>
    </w:tbl>
    <w:p>
      <w:pPr>
        <w:spacing w:before="0" w:after="0"/>
      </w:pPr>
    </w:p>
    <w:p>
      <w:pPr>
        <w:jc w:val="both"/>
        <w:pStyle w:val="Normal"/>
        <w:spacing w:line="240" w:lineRule="auto"/>
      </w:pPr>
      <w:r>
        <w:rPr>
          <w:sz w:val="24"/>
          <w:rFonts w:ascii="Times New Roman" w:hAnsi="Times New Roman"/>
        </w:rPr>
        <w:t>Prihodi su smanjeni jer se prethodno razdoblje ostvario prihod od prodaje nefinancijske imovine, dok se u tekućoj godini ostvaruje samo prihod od prodaje materijalne imovine (zemljišta).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214.755,21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124.361,50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w:t>
            </w:r>
          </w:p>
        </w:tc>
      </w:tr>
    </w:tbl>
    <w:p>
      <w:pPr>
        <w:spacing w:before="0" w:after="0"/>
      </w:pPr>
    </w:p>
    <w:p>
      <w:pPr>
        <w:jc w:val="both"/>
        <w:pStyle w:val="Normal"/>
        <w:spacing w:line="240" w:lineRule="auto"/>
      </w:pPr>
      <w:r>
        <w:rPr>
          <w:sz w:val="24"/>
          <w:rFonts w:ascii="Times New Roman" w:hAnsi="Times New Roman"/>
        </w:rPr>
        <w:t>Rashodi su smanjeni, odnosno ostvareni za 57,90% jer se je manje u devetomjesečnom razdoblju ulagalo u ceste. 
Ostali građevinski objekti su ostvareni u većem iznosu zbog dodatnih ulaganja.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18.886,43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w:t>
            </w:r>
          </w:p>
        </w:tc>
      </w:tr>
    </w:tbl>
    <w:p>
      <w:pPr>
        <w:spacing w:before="0" w:after="0"/>
      </w:pPr>
    </w:p>
    <w:p>
      <w:pPr>
        <w:jc w:val="both"/>
        <w:pStyle w:val="Normal"/>
        <w:spacing w:line="240" w:lineRule="auto"/>
      </w:pPr>
      <w:r>
        <w:rPr>
          <w:sz w:val="24"/>
          <w:rFonts w:ascii="Times New Roman" w:hAnsi="Times New Roman"/>
        </w:rPr>
        <w:t>Rashodi su povećani za 94,30% zbog potrebe nabave komunikacijske opreme i opreme za održavanje i zaštitu. Isto tako dolazi do ulaganja u sportsku opremu koje prethodno razdoblje nije bilo.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577,8</w:t>
            </w:r>
          </w:p>
        </w:tc>
      </w:tr>
    </w:tbl>
    <w:p>
      <w:pPr>
        <w:spacing w:before="0" w:after="0"/>
      </w:pPr>
    </w:p>
    <w:p>
      <w:pPr>
        <w:jc w:val="both"/>
        <w:pStyle w:val="Normal"/>
        <w:spacing w:line="240" w:lineRule="auto"/>
      </w:pPr>
      <w:r>
        <w:rPr>
          <w:sz w:val="24"/>
          <w:rFonts w:ascii="Times New Roman" w:hAnsi="Times New Roman"/>
        </w:rPr>
        <w:t>Rashodi su povećani zbog nastanka rashoda koji se odnosi na poslovne planove, tj. ove godine su bili u fazi izrade i samim time su nastali veći rashodi, dok se prethodno razdoblje odnosi samo na provedbu postupka.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su podmirene nakon roka dospijeća, tj. nakon odobrenja za plaćanje.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107.501,04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odnose se na obveze kojima je rok dospijeća u listopadu, kada će i one biti podmirene. Dio obveza odnosi se na plaće, drugi dohodak i materijalne rashode, a veći dio se odnosi na obveze za nabavu nefinancijske imovine.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dbcce6846ca4b9a" /></Relationships>
</file>